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D1C2A" w:rsidRDefault="001D1C2A">
      <w:pPr>
        <w:widowControl/>
        <w:jc w:val="left"/>
        <w:rPr>
          <w:rFonts w:eastAsia="楷体"/>
          <w:b/>
          <w:sz w:val="15"/>
          <w:szCs w:val="15"/>
        </w:rPr>
      </w:pPr>
      <w:bookmarkStart w:id="0" w:name="OLE_LINK1"/>
      <w:bookmarkStart w:id="1" w:name="评级观点"/>
      <w:r>
        <w:rPr>
          <w:rFonts w:eastAsia="楷体"/>
          <w:b/>
          <w:noProof/>
          <w:sz w:val="15"/>
          <w:szCs w:val="15"/>
        </w:rPr>
        <w:drawing>
          <wp:anchor distT="0" distB="0" distL="114300" distR="114300" simplePos="0" relativeHeight="251659776" behindDoc="0" locked="0" layoutInCell="1" allowOverlap="1">
            <wp:simplePos x="0" y="0"/>
            <wp:positionH relativeFrom="column">
              <wp:posOffset>3810</wp:posOffset>
            </wp:positionH>
            <wp:positionV relativeFrom="paragraph">
              <wp:posOffset>44450</wp:posOffset>
            </wp:positionV>
            <wp:extent cx="7679690" cy="10799445"/>
            <wp:effectExtent l="0" t="0" r="0" b="1905"/>
            <wp:wrapTopAndBottom/>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一般债封皮.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679690" cy="10799445"/>
                    </a:xfrm>
                    <a:prstGeom prst="rect">
                      <a:avLst/>
                    </a:prstGeom>
                  </pic:spPr>
                </pic:pic>
              </a:graphicData>
            </a:graphic>
            <wp14:sizeRelH relativeFrom="page">
              <wp14:pctWidth>0</wp14:pctWidth>
            </wp14:sizeRelH>
            <wp14:sizeRelV relativeFrom="page">
              <wp14:pctHeight>0</wp14:pctHeight>
            </wp14:sizeRelV>
          </wp:anchor>
        </w:drawing>
      </w:r>
      <w:r>
        <w:rPr>
          <w:rFonts w:eastAsia="楷体"/>
          <w:b/>
          <w:sz w:val="15"/>
          <w:szCs w:val="15"/>
        </w:rPr>
        <w:br w:type="page"/>
      </w:r>
    </w:p>
    <w:p w:rsidR="0009133A" w:rsidRDefault="008E6809">
      <w:pPr>
        <w:widowControl/>
        <w:jc w:val="left"/>
        <w:rPr>
          <w:rFonts w:eastAsia="楷体"/>
          <w:b/>
          <w:sz w:val="15"/>
          <w:szCs w:val="15"/>
        </w:rPr>
      </w:pPr>
      <w:r>
        <w:rPr>
          <w:noProof/>
        </w:rPr>
        <w:lastRenderedPageBreak/>
        <mc:AlternateContent>
          <mc:Choice Requires="wps">
            <w:drawing>
              <wp:anchor distT="0" distB="0" distL="114300" distR="114300" simplePos="0" relativeHeight="251658752" behindDoc="0" locked="0" layoutInCell="1" allowOverlap="1" wp14:anchorId="4CD7D464" wp14:editId="0EFBF080">
                <wp:simplePos x="0" y="0"/>
                <wp:positionH relativeFrom="column">
                  <wp:posOffset>-19685</wp:posOffset>
                </wp:positionH>
                <wp:positionV relativeFrom="paragraph">
                  <wp:posOffset>-347980</wp:posOffset>
                </wp:positionV>
                <wp:extent cx="6296660" cy="619125"/>
                <wp:effectExtent l="0" t="0" r="27940" b="28575"/>
                <wp:wrapNone/>
                <wp:docPr id="6"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6660" cy="619125"/>
                        </a:xfrm>
                        <a:prstGeom prst="rect">
                          <a:avLst/>
                        </a:prstGeom>
                        <a:gradFill rotWithShape="1">
                          <a:gsLst>
                            <a:gs pos="0">
                              <a:srgbClr val="0070C0"/>
                            </a:gs>
                            <a:gs pos="100000">
                              <a:srgbClr val="0070C0">
                                <a:gamma/>
                                <a:shade val="46275"/>
                                <a:invGamma/>
                              </a:srgbClr>
                            </a:gs>
                          </a:gsLst>
                          <a:lin ang="5400000" scaled="1"/>
                        </a:gradFill>
                        <a:ln w="9525">
                          <a:solidFill>
                            <a:srgbClr val="FFFFFF"/>
                          </a:solidFill>
                          <a:miter lim="800000"/>
                          <a:headEnd/>
                          <a:tailEnd/>
                        </a:ln>
                      </wps:spPr>
                      <wps:txbx>
                        <w:txbxContent>
                          <w:p w:rsidR="005E7F25" w:rsidRPr="001A081C" w:rsidRDefault="005E7F25" w:rsidP="00B12D88">
                            <w:pPr>
                              <w:spacing w:beforeLines="50" w:before="156" w:line="440" w:lineRule="exact"/>
                              <w:jc w:val="center"/>
                            </w:pPr>
                            <w:r w:rsidRPr="001A081C">
                              <w:rPr>
                                <w:rFonts w:eastAsia="黑体"/>
                                <w:b/>
                                <w:color w:val="FFFFFF"/>
                                <w:sz w:val="30"/>
                                <w:szCs w:val="30"/>
                              </w:rPr>
                              <w:t>201</w:t>
                            </w:r>
                            <w:r>
                              <w:rPr>
                                <w:rFonts w:eastAsia="黑体" w:hint="eastAsia"/>
                                <w:b/>
                                <w:color w:val="FFFFFF"/>
                                <w:sz w:val="30"/>
                                <w:szCs w:val="30"/>
                              </w:rPr>
                              <w:t>6</w:t>
                            </w:r>
                            <w:r w:rsidRPr="001A081C">
                              <w:rPr>
                                <w:rFonts w:eastAsia="黑体"/>
                                <w:b/>
                                <w:color w:val="FFFFFF"/>
                                <w:sz w:val="30"/>
                                <w:szCs w:val="30"/>
                              </w:rPr>
                              <w:t>年</w:t>
                            </w:r>
                            <w:r>
                              <w:rPr>
                                <w:rFonts w:eastAsia="黑体" w:hint="eastAsia"/>
                                <w:b/>
                                <w:color w:val="FFFFFF"/>
                                <w:sz w:val="30"/>
                                <w:szCs w:val="30"/>
                              </w:rPr>
                              <w:t>第一批</w:t>
                            </w:r>
                            <w:r w:rsidRPr="001A081C">
                              <w:rPr>
                                <w:rFonts w:eastAsia="黑体"/>
                                <w:b/>
                                <w:color w:val="FFFFFF"/>
                                <w:sz w:val="30"/>
                                <w:szCs w:val="30"/>
                              </w:rPr>
                              <w:t>江苏省政府</w:t>
                            </w:r>
                            <w:r>
                              <w:rPr>
                                <w:rFonts w:eastAsia="黑体" w:hint="eastAsia"/>
                                <w:b/>
                                <w:color w:val="FFFFFF"/>
                                <w:sz w:val="30"/>
                                <w:szCs w:val="30"/>
                              </w:rPr>
                              <w:t>一般</w:t>
                            </w:r>
                            <w:r w:rsidRPr="001A081C">
                              <w:rPr>
                                <w:rFonts w:eastAsia="黑体"/>
                                <w:b/>
                                <w:color w:val="FFFFFF"/>
                                <w:sz w:val="30"/>
                                <w:szCs w:val="30"/>
                              </w:rPr>
                              <w:t>债券信用评级</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本框 2" o:spid="_x0000_s1026" type="#_x0000_t202" style="position:absolute;margin-left:-1.55pt;margin-top:-27.4pt;width:495.8pt;height:48.7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" fillcolor="#0070c0" strokecolor="white">
                <v:fill color2="#003459" rotate="t" focus="100%" type="gradient"/>
                <v:textbox>
                  <w:txbxContent>
                    <w:p w:rsidR="005E7F25" w:rsidRPr="001A081C" w:rsidRDefault="005E7F25" w:rsidP="00B12D88">
                      <w:pPr>
                        <w:spacing w:beforeLines="50" w:before="156" w:line="440" w:lineRule="exact"/>
                        <w:jc w:val="center"/>
                      </w:pPr>
                      <w:r w:rsidRPr="001A081C">
                        <w:rPr>
                          <w:rFonts w:eastAsia="黑体"/>
                          <w:b/>
                          <w:color w:val="FFFFFF"/>
                          <w:sz w:val="30"/>
                          <w:szCs w:val="30"/>
                        </w:rPr>
                        <w:t>201</w:t>
                      </w:r>
                      <w:r>
                        <w:rPr>
                          <w:rFonts w:eastAsia="黑体" w:hint="eastAsia"/>
                          <w:b/>
                          <w:color w:val="FFFFFF"/>
                          <w:sz w:val="30"/>
                          <w:szCs w:val="30"/>
                        </w:rPr>
                        <w:t>6</w:t>
                      </w:r>
                      <w:r w:rsidRPr="001A081C">
                        <w:rPr>
                          <w:rFonts w:eastAsia="黑体"/>
                          <w:b/>
                          <w:color w:val="FFFFFF"/>
                          <w:sz w:val="30"/>
                          <w:szCs w:val="30"/>
                        </w:rPr>
                        <w:t>年</w:t>
                      </w:r>
                      <w:r>
                        <w:rPr>
                          <w:rFonts w:eastAsia="黑体" w:hint="eastAsia"/>
                          <w:b/>
                          <w:color w:val="FFFFFF"/>
                          <w:sz w:val="30"/>
                          <w:szCs w:val="30"/>
                        </w:rPr>
                        <w:t>第一批</w:t>
                      </w:r>
                      <w:r w:rsidRPr="001A081C">
                        <w:rPr>
                          <w:rFonts w:eastAsia="黑体"/>
                          <w:b/>
                          <w:color w:val="FFFFFF"/>
                          <w:sz w:val="30"/>
                          <w:szCs w:val="30"/>
                        </w:rPr>
                        <w:t>江苏省政府</w:t>
                      </w:r>
                      <w:r>
                        <w:rPr>
                          <w:rFonts w:eastAsia="黑体" w:hint="eastAsia"/>
                          <w:b/>
                          <w:color w:val="FFFFFF"/>
                          <w:sz w:val="30"/>
                          <w:szCs w:val="30"/>
                        </w:rPr>
                        <w:t>一般</w:t>
                      </w:r>
                      <w:r w:rsidRPr="001A081C">
                        <w:rPr>
                          <w:rFonts w:eastAsia="黑体"/>
                          <w:b/>
                          <w:color w:val="FFFFFF"/>
                          <w:sz w:val="30"/>
                          <w:szCs w:val="30"/>
                        </w:rPr>
                        <w:t>债券信用评级</w:t>
                      </w:r>
                    </w:p>
                  </w:txbxContent>
                </v:textbox>
              </v:shape>
            </w:pict>
          </mc:Fallback>
        </mc:AlternateContent>
      </w:r>
    </w:p>
    <w:p w:rsidR="00B12D88" w:rsidRPr="00FF71DA" w:rsidRDefault="00B12D88" w:rsidP="00B12D88">
      <w:pPr>
        <w:rPr>
          <w:rFonts w:eastAsia="楷体"/>
          <w:sz w:val="11"/>
          <w:szCs w:val="15"/>
        </w:rPr>
      </w:pPr>
    </w:p>
    <w:p w:rsidR="00B12D88" w:rsidRPr="00094226" w:rsidRDefault="008E6809" w:rsidP="00B12D88">
      <w:pPr>
        <w:jc w:val="left"/>
        <w:rPr>
          <w:rFonts w:eastAsia="楷体"/>
          <w:b/>
          <w:sz w:val="11"/>
          <w:szCs w:val="15"/>
        </w:rPr>
      </w:pPr>
      <w:r>
        <w:rPr>
          <w:noProof/>
        </w:rPr>
        <mc:AlternateContent>
          <mc:Choice Requires="wps">
            <w:drawing>
              <wp:anchor distT="0" distB="0" distL="114300" distR="114300" simplePos="0" relativeHeight="251657728" behindDoc="0" locked="0" layoutInCell="1" allowOverlap="1" wp14:anchorId="72460EC0" wp14:editId="04B0DB0F">
                <wp:simplePos x="0" y="0"/>
                <wp:positionH relativeFrom="column">
                  <wp:posOffset>-38735</wp:posOffset>
                </wp:positionH>
                <wp:positionV relativeFrom="paragraph">
                  <wp:posOffset>38735</wp:posOffset>
                </wp:positionV>
                <wp:extent cx="2557145" cy="552450"/>
                <wp:effectExtent l="0" t="0" r="0" b="0"/>
                <wp:wrapNone/>
                <wp:docPr id="21"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7145" cy="552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4077" w:type="dxa"/>
                              <w:tblBorders>
                                <w:top w:val="single" w:sz="4" w:space="0" w:color="999999"/>
                                <w:bottom w:val="single" w:sz="4" w:space="0" w:color="999999"/>
                              </w:tblBorders>
                              <w:tblLook w:val="0000" w:firstRow="0" w:lastRow="0" w:firstColumn="0" w:lastColumn="0" w:noHBand="0" w:noVBand="0"/>
                            </w:tblPr>
                            <w:tblGrid>
                              <w:gridCol w:w="4077"/>
                            </w:tblGrid>
                            <w:tr w:rsidR="005E7F25" w:rsidRPr="00CE3F4A" w:rsidTr="00D335D4">
                              <w:trPr>
                                <w:trHeight w:val="340"/>
                              </w:trPr>
                              <w:tc>
                                <w:tcPr>
                                  <w:tcW w:w="4077" w:type="dxa"/>
                                  <w:shd w:val="clear" w:color="auto" w:fill="D3EDFB"/>
                                  <w:vAlign w:val="center"/>
                                </w:tcPr>
                                <w:p w:rsidR="005E7F25" w:rsidRPr="00CE3F4A" w:rsidRDefault="005E7F25" w:rsidP="00DB0234">
                                  <w:pPr>
                                    <w:widowControl/>
                                    <w:spacing w:line="280" w:lineRule="exact"/>
                                    <w:rPr>
                                      <w:rFonts w:eastAsia="黑体"/>
                                      <w:b/>
                                      <w:color w:val="000000"/>
                                      <w:sz w:val="18"/>
                                      <w:szCs w:val="18"/>
                                    </w:rPr>
                                  </w:pPr>
                                  <w:r>
                                    <w:rPr>
                                      <w:rFonts w:eastAsia="黑体" w:hint="eastAsia"/>
                                      <w:b/>
                                      <w:color w:val="000000"/>
                                      <w:sz w:val="18"/>
                                      <w:szCs w:val="18"/>
                                    </w:rPr>
                                    <w:t>债券</w:t>
                                  </w:r>
                                  <w:r w:rsidRPr="00CE3F4A">
                                    <w:rPr>
                                      <w:rFonts w:eastAsia="黑体" w:hint="eastAsia"/>
                                      <w:b/>
                                      <w:color w:val="000000"/>
                                      <w:sz w:val="18"/>
                                      <w:szCs w:val="18"/>
                                    </w:rPr>
                                    <w:t>信用等级：</w:t>
                                  </w:r>
                                  <w:r>
                                    <w:rPr>
                                      <w:rFonts w:eastAsia="黑体" w:hint="eastAsia"/>
                                      <w:b/>
                                      <w:color w:val="000000"/>
                                      <w:sz w:val="18"/>
                                      <w:szCs w:val="18"/>
                                    </w:rPr>
                                    <w:t>AAA</w:t>
                                  </w:r>
                                </w:p>
                              </w:tc>
                            </w:tr>
                            <w:tr w:rsidR="005E7F25" w:rsidRPr="00CE3F4A" w:rsidTr="00D335D4">
                              <w:trPr>
                                <w:trHeight w:val="340"/>
                              </w:trPr>
                              <w:tc>
                                <w:tcPr>
                                  <w:tcW w:w="4077" w:type="dxa"/>
                                  <w:vAlign w:val="center"/>
                                </w:tcPr>
                                <w:p w:rsidR="005E7F25" w:rsidRPr="00CE3F4A" w:rsidRDefault="005E7F25" w:rsidP="008D7DEC">
                                  <w:pPr>
                                    <w:widowControl/>
                                    <w:spacing w:line="280" w:lineRule="exact"/>
                                    <w:rPr>
                                      <w:kern w:val="0"/>
                                      <w:sz w:val="18"/>
                                      <w:szCs w:val="18"/>
                                    </w:rPr>
                                  </w:pPr>
                                  <w:r w:rsidRPr="00CE3F4A">
                                    <w:rPr>
                                      <w:rFonts w:eastAsia="黑体" w:hint="eastAsia"/>
                                      <w:b/>
                                      <w:color w:val="000000"/>
                                      <w:sz w:val="18"/>
                                      <w:szCs w:val="18"/>
                                    </w:rPr>
                                    <w:t>评级时间：</w:t>
                                  </w:r>
                                  <w:r w:rsidRPr="00CE3F4A">
                                    <w:rPr>
                                      <w:rFonts w:eastAsia="黑体" w:hint="eastAsia"/>
                                      <w:b/>
                                      <w:color w:val="000000"/>
                                      <w:sz w:val="18"/>
                                      <w:szCs w:val="18"/>
                                    </w:rPr>
                                    <w:t>201</w:t>
                                  </w:r>
                                  <w:r>
                                    <w:rPr>
                                      <w:rFonts w:eastAsia="黑体" w:hint="eastAsia"/>
                                      <w:b/>
                                      <w:color w:val="000000"/>
                                      <w:sz w:val="18"/>
                                      <w:szCs w:val="18"/>
                                    </w:rPr>
                                    <w:t>6</w:t>
                                  </w:r>
                                  <w:r w:rsidRPr="00CE3F4A">
                                    <w:rPr>
                                      <w:rFonts w:eastAsia="黑体" w:hint="eastAsia"/>
                                      <w:b/>
                                      <w:color w:val="000000"/>
                                      <w:sz w:val="18"/>
                                      <w:szCs w:val="18"/>
                                    </w:rPr>
                                    <w:t>年</w:t>
                                  </w:r>
                                  <w:r>
                                    <w:rPr>
                                      <w:rFonts w:eastAsia="黑体" w:hint="eastAsia"/>
                                      <w:b/>
                                      <w:color w:val="000000"/>
                                      <w:sz w:val="18"/>
                                      <w:szCs w:val="18"/>
                                    </w:rPr>
                                    <w:t>03</w:t>
                                  </w:r>
                                  <w:r w:rsidRPr="00CE3F4A">
                                    <w:rPr>
                                      <w:rFonts w:eastAsia="黑体" w:hint="eastAsia"/>
                                      <w:b/>
                                      <w:color w:val="000000"/>
                                      <w:sz w:val="18"/>
                                      <w:szCs w:val="18"/>
                                    </w:rPr>
                                    <w:t>月</w:t>
                                  </w:r>
                                  <w:r>
                                    <w:rPr>
                                      <w:rFonts w:eastAsia="黑体" w:hint="eastAsia"/>
                                      <w:b/>
                                      <w:color w:val="000000"/>
                                      <w:sz w:val="18"/>
                                      <w:szCs w:val="18"/>
                                    </w:rPr>
                                    <w:t>04</w:t>
                                  </w:r>
                                  <w:r w:rsidRPr="00CE3F4A">
                                    <w:rPr>
                                      <w:rFonts w:eastAsia="黑体" w:hint="eastAsia"/>
                                      <w:b/>
                                      <w:color w:val="000000"/>
                                      <w:sz w:val="18"/>
                                      <w:szCs w:val="18"/>
                                    </w:rPr>
                                    <w:t>日</w:t>
                                  </w:r>
                                </w:p>
                              </w:tc>
                            </w:tr>
                          </w:tbl>
                          <w:p w:rsidR="005E7F25" w:rsidRDefault="005E7F25" w:rsidP="00B12D88"/>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margin-left:-3.05pt;margin-top:3.05pt;width:201.35pt;height:43.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" filled="f" stroked="f">
                <v:textbox>
                  <w:txbxContent>
                    <w:tbl>
                      <w:tblPr>
                        <w:tblW w:w="4077" w:type="dxa"/>
                        <w:tblBorders>
                          <w:top w:val="single" w:sz="4" w:space="0" w:color="999999"/>
                          <w:bottom w:val="single" w:sz="4" w:space="0" w:color="999999"/>
                        </w:tblBorders>
                        <w:tblLook w:val="0000" w:firstRow="0" w:lastRow="0" w:firstColumn="0" w:lastColumn="0" w:noHBand="0" w:noVBand="0"/>
                      </w:tblPr>
                      <w:tblGrid>
                        <w:gridCol w:w="4077"/>
                      </w:tblGrid>
                      <w:tr w:rsidR="005E7F25" w:rsidRPr="00CE3F4A" w:rsidTr="00D335D4">
                        <w:trPr>
                          <w:trHeight w:val="340"/>
                        </w:trPr>
                        <w:tc>
                          <w:tcPr>
                            <w:tcW w:w="4077" w:type="dxa"/>
                            <w:shd w:val="clear" w:color="auto" w:fill="D3EDFB"/>
                            <w:vAlign w:val="center"/>
                          </w:tcPr>
                          <w:p w:rsidR="005E7F25" w:rsidRPr="00CE3F4A" w:rsidRDefault="005E7F25" w:rsidP="00DB0234">
                            <w:pPr>
                              <w:widowControl/>
                              <w:spacing w:line="280" w:lineRule="exact"/>
                              <w:rPr>
                                <w:rFonts w:eastAsia="黑体"/>
                                <w:b/>
                                <w:color w:val="000000"/>
                                <w:sz w:val="18"/>
                                <w:szCs w:val="18"/>
                              </w:rPr>
                            </w:pPr>
                            <w:r>
                              <w:rPr>
                                <w:rFonts w:eastAsia="黑体" w:hint="eastAsia"/>
                                <w:b/>
                                <w:color w:val="000000"/>
                                <w:sz w:val="18"/>
                                <w:szCs w:val="18"/>
                              </w:rPr>
                              <w:t>债券</w:t>
                            </w:r>
                            <w:r w:rsidRPr="00CE3F4A">
                              <w:rPr>
                                <w:rFonts w:eastAsia="黑体" w:hint="eastAsia"/>
                                <w:b/>
                                <w:color w:val="000000"/>
                                <w:sz w:val="18"/>
                                <w:szCs w:val="18"/>
                              </w:rPr>
                              <w:t>信用等级：</w:t>
                            </w:r>
                            <w:r>
                              <w:rPr>
                                <w:rFonts w:eastAsia="黑体" w:hint="eastAsia"/>
                                <w:b/>
                                <w:color w:val="000000"/>
                                <w:sz w:val="18"/>
                                <w:szCs w:val="18"/>
                              </w:rPr>
                              <w:t>AAA</w:t>
                            </w:r>
                          </w:p>
                        </w:tc>
                      </w:tr>
                      <w:tr w:rsidR="005E7F25" w:rsidRPr="00CE3F4A" w:rsidTr="00D335D4">
                        <w:trPr>
                          <w:trHeight w:val="340"/>
                        </w:trPr>
                        <w:tc>
                          <w:tcPr>
                            <w:tcW w:w="4077" w:type="dxa"/>
                            <w:vAlign w:val="center"/>
                          </w:tcPr>
                          <w:p w:rsidR="005E7F25" w:rsidRPr="00CE3F4A" w:rsidRDefault="005E7F25" w:rsidP="008D7DEC">
                            <w:pPr>
                              <w:widowControl/>
                              <w:spacing w:line="280" w:lineRule="exact"/>
                              <w:rPr>
                                <w:kern w:val="0"/>
                                <w:sz w:val="18"/>
                                <w:szCs w:val="18"/>
                              </w:rPr>
                            </w:pPr>
                            <w:r w:rsidRPr="00CE3F4A">
                              <w:rPr>
                                <w:rFonts w:eastAsia="黑体" w:hint="eastAsia"/>
                                <w:b/>
                                <w:color w:val="000000"/>
                                <w:sz w:val="18"/>
                                <w:szCs w:val="18"/>
                              </w:rPr>
                              <w:t>评级时间：</w:t>
                            </w:r>
                            <w:r w:rsidRPr="00CE3F4A">
                              <w:rPr>
                                <w:rFonts w:eastAsia="黑体" w:hint="eastAsia"/>
                                <w:b/>
                                <w:color w:val="000000"/>
                                <w:sz w:val="18"/>
                                <w:szCs w:val="18"/>
                              </w:rPr>
                              <w:t>201</w:t>
                            </w:r>
                            <w:r>
                              <w:rPr>
                                <w:rFonts w:eastAsia="黑体" w:hint="eastAsia"/>
                                <w:b/>
                                <w:color w:val="000000"/>
                                <w:sz w:val="18"/>
                                <w:szCs w:val="18"/>
                              </w:rPr>
                              <w:t>6</w:t>
                            </w:r>
                            <w:r w:rsidRPr="00CE3F4A">
                              <w:rPr>
                                <w:rFonts w:eastAsia="黑体" w:hint="eastAsia"/>
                                <w:b/>
                                <w:color w:val="000000"/>
                                <w:sz w:val="18"/>
                                <w:szCs w:val="18"/>
                              </w:rPr>
                              <w:t>年</w:t>
                            </w:r>
                            <w:r>
                              <w:rPr>
                                <w:rFonts w:eastAsia="黑体" w:hint="eastAsia"/>
                                <w:b/>
                                <w:color w:val="000000"/>
                                <w:sz w:val="18"/>
                                <w:szCs w:val="18"/>
                              </w:rPr>
                              <w:t>03</w:t>
                            </w:r>
                            <w:r w:rsidRPr="00CE3F4A">
                              <w:rPr>
                                <w:rFonts w:eastAsia="黑体" w:hint="eastAsia"/>
                                <w:b/>
                                <w:color w:val="000000"/>
                                <w:sz w:val="18"/>
                                <w:szCs w:val="18"/>
                              </w:rPr>
                              <w:t>月</w:t>
                            </w:r>
                            <w:r>
                              <w:rPr>
                                <w:rFonts w:eastAsia="黑体" w:hint="eastAsia"/>
                                <w:b/>
                                <w:color w:val="000000"/>
                                <w:sz w:val="18"/>
                                <w:szCs w:val="18"/>
                              </w:rPr>
                              <w:t>04</w:t>
                            </w:r>
                            <w:r w:rsidRPr="00CE3F4A">
                              <w:rPr>
                                <w:rFonts w:eastAsia="黑体" w:hint="eastAsia"/>
                                <w:b/>
                                <w:color w:val="000000"/>
                                <w:sz w:val="18"/>
                                <w:szCs w:val="18"/>
                              </w:rPr>
                              <w:t>日</w:t>
                            </w:r>
                          </w:p>
                        </w:tc>
                      </w:tr>
                    </w:tbl>
                    <w:p w:rsidR="005E7F25" w:rsidRDefault="005E7F25" w:rsidP="00B12D88"/>
                  </w:txbxContent>
                </v:textbox>
              </v:shape>
            </w:pict>
          </mc:Fallback>
        </mc:AlternateContent>
      </w:r>
    </w:p>
    <w:p w:rsidR="00B12D88" w:rsidRPr="00094226" w:rsidRDefault="00B12D88" w:rsidP="00B12D88">
      <w:pPr>
        <w:jc w:val="left"/>
        <w:rPr>
          <w:rFonts w:eastAsia="楷体"/>
          <w:b/>
          <w:sz w:val="11"/>
          <w:szCs w:val="15"/>
        </w:rPr>
      </w:pPr>
    </w:p>
    <w:p w:rsidR="00B12D88" w:rsidRPr="00094226" w:rsidRDefault="00B12D88" w:rsidP="00B12D88">
      <w:pPr>
        <w:jc w:val="left"/>
        <w:rPr>
          <w:rFonts w:eastAsia="楷体"/>
          <w:b/>
          <w:sz w:val="11"/>
          <w:szCs w:val="15"/>
        </w:rPr>
      </w:pPr>
    </w:p>
    <w:tbl>
      <w:tblPr>
        <w:tblW w:w="6240" w:type="pct"/>
        <w:tblBorders>
          <w:bottom w:val="single" w:sz="4" w:space="0" w:color="auto"/>
        </w:tblBorders>
        <w:tblLook w:val="01E0" w:firstRow="1" w:lastRow="1" w:firstColumn="1" w:lastColumn="1" w:noHBand="0" w:noVBand="0"/>
      </w:tblPr>
      <w:tblGrid>
        <w:gridCol w:w="1363"/>
        <w:gridCol w:w="933"/>
        <w:gridCol w:w="934"/>
        <w:gridCol w:w="938"/>
      </w:tblGrid>
      <w:tr w:rsidR="00A87396" w:rsidRPr="009533B1" w:rsidTr="00A36366">
        <w:trPr>
          <w:trHeight w:hRule="exact" w:val="319"/>
        </w:trPr>
        <w:tc>
          <w:tcPr>
            <w:tcW w:w="4999" w:type="pct"/>
            <w:gridSpan w:val="4"/>
            <w:tcBorders>
              <w:top w:val="single" w:sz="4" w:space="0" w:color="auto"/>
              <w:bottom w:val="nil"/>
            </w:tcBorders>
            <w:shd w:val="clear" w:color="auto" w:fill="0070C0"/>
            <w:tcMar>
              <w:left w:w="28" w:type="dxa"/>
              <w:right w:w="28" w:type="dxa"/>
            </w:tcMar>
            <w:vAlign w:val="center"/>
          </w:tcPr>
          <w:p w:rsidR="00A87396" w:rsidRPr="009533B1" w:rsidRDefault="00A87396" w:rsidP="004A756E">
            <w:pPr>
              <w:tabs>
                <w:tab w:val="left" w:pos="885"/>
              </w:tabs>
              <w:ind w:rightChars="-41" w:right="-86"/>
              <w:jc w:val="left"/>
              <w:rPr>
                <w:b/>
                <w:bCs/>
                <w:color w:val="FFFFFF"/>
                <w:sz w:val="13"/>
                <w:szCs w:val="13"/>
              </w:rPr>
            </w:pPr>
            <w:r>
              <w:rPr>
                <w:rFonts w:hint="eastAsia"/>
                <w:b/>
                <w:bCs/>
                <w:color w:val="FFFFFF"/>
                <w:sz w:val="13"/>
                <w:szCs w:val="13"/>
              </w:rPr>
              <w:t>债券信息</w:t>
            </w:r>
          </w:p>
        </w:tc>
      </w:tr>
      <w:tr w:rsidR="00A87396" w:rsidRPr="009533B1" w:rsidTr="00A36366">
        <w:trPr>
          <w:trHeight w:hRule="exact" w:val="319"/>
        </w:trPr>
        <w:tc>
          <w:tcPr>
            <w:tcW w:w="1636" w:type="pct"/>
            <w:tcBorders>
              <w:bottom w:val="nil"/>
            </w:tcBorders>
            <w:shd w:val="clear" w:color="auto" w:fill="FFFFFF"/>
            <w:tcMar>
              <w:left w:w="28" w:type="dxa"/>
              <w:right w:w="28" w:type="dxa"/>
            </w:tcMar>
            <w:vAlign w:val="center"/>
          </w:tcPr>
          <w:p w:rsidR="00A87396" w:rsidRPr="007E5706" w:rsidRDefault="00A87396" w:rsidP="004A756E">
            <w:pPr>
              <w:rPr>
                <w:bCs/>
                <w:sz w:val="13"/>
                <w:szCs w:val="13"/>
              </w:rPr>
            </w:pPr>
            <w:r w:rsidRPr="007E5706">
              <w:rPr>
                <w:rFonts w:hint="eastAsia"/>
                <w:bCs/>
                <w:sz w:val="13"/>
                <w:szCs w:val="13"/>
              </w:rPr>
              <w:t>发行规模</w:t>
            </w:r>
          </w:p>
        </w:tc>
        <w:tc>
          <w:tcPr>
            <w:tcW w:w="3364" w:type="pct"/>
            <w:gridSpan w:val="3"/>
            <w:tcBorders>
              <w:bottom w:val="nil"/>
            </w:tcBorders>
            <w:shd w:val="clear" w:color="auto" w:fill="FFFFFF"/>
            <w:tcMar>
              <w:left w:w="28" w:type="dxa"/>
              <w:right w:w="28" w:type="dxa"/>
            </w:tcMar>
            <w:vAlign w:val="center"/>
          </w:tcPr>
          <w:p w:rsidR="00A87396" w:rsidRPr="002628A2" w:rsidRDefault="00921FC3" w:rsidP="004A756E">
            <w:pPr>
              <w:tabs>
                <w:tab w:val="left" w:pos="885"/>
              </w:tabs>
              <w:ind w:rightChars="-41" w:right="-86"/>
              <w:jc w:val="center"/>
              <w:rPr>
                <w:bCs/>
                <w:sz w:val="13"/>
                <w:szCs w:val="13"/>
              </w:rPr>
            </w:pPr>
            <w:r w:rsidRPr="002628A2">
              <w:rPr>
                <w:bCs/>
                <w:sz w:val="13"/>
                <w:szCs w:val="13"/>
              </w:rPr>
              <w:t>608.6</w:t>
            </w:r>
            <w:r w:rsidR="00A66BA0">
              <w:rPr>
                <w:rFonts w:hint="eastAsia"/>
                <w:bCs/>
                <w:sz w:val="13"/>
                <w:szCs w:val="13"/>
              </w:rPr>
              <w:t>0</w:t>
            </w:r>
            <w:r w:rsidR="0015667C" w:rsidRPr="002628A2">
              <w:rPr>
                <w:rFonts w:hint="eastAsia"/>
                <w:bCs/>
                <w:sz w:val="13"/>
                <w:szCs w:val="13"/>
              </w:rPr>
              <w:t>亿元</w:t>
            </w:r>
          </w:p>
        </w:tc>
      </w:tr>
      <w:tr w:rsidR="00A87396" w:rsidRPr="009533B1" w:rsidTr="00A36366">
        <w:trPr>
          <w:trHeight w:hRule="exact" w:val="319"/>
        </w:trPr>
        <w:tc>
          <w:tcPr>
            <w:tcW w:w="1636" w:type="pct"/>
            <w:tcBorders>
              <w:bottom w:val="single" w:sz="4" w:space="0" w:color="auto"/>
            </w:tcBorders>
            <w:shd w:val="clear" w:color="auto" w:fill="D3EDFB"/>
            <w:tcMar>
              <w:left w:w="28" w:type="dxa"/>
              <w:right w:w="28" w:type="dxa"/>
            </w:tcMar>
            <w:vAlign w:val="center"/>
          </w:tcPr>
          <w:p w:rsidR="00A87396" w:rsidRPr="007E5706" w:rsidRDefault="00A87396" w:rsidP="004A756E">
            <w:pPr>
              <w:rPr>
                <w:bCs/>
                <w:sz w:val="13"/>
                <w:szCs w:val="13"/>
              </w:rPr>
            </w:pPr>
            <w:r>
              <w:rPr>
                <w:rFonts w:hint="eastAsia"/>
                <w:bCs/>
                <w:sz w:val="13"/>
                <w:szCs w:val="13"/>
              </w:rPr>
              <w:t>债券</w:t>
            </w:r>
            <w:r w:rsidRPr="007E5706">
              <w:rPr>
                <w:rFonts w:hint="eastAsia"/>
                <w:bCs/>
                <w:sz w:val="13"/>
                <w:szCs w:val="13"/>
              </w:rPr>
              <w:t>期限</w:t>
            </w:r>
          </w:p>
        </w:tc>
        <w:tc>
          <w:tcPr>
            <w:tcW w:w="3364" w:type="pct"/>
            <w:gridSpan w:val="3"/>
            <w:tcBorders>
              <w:bottom w:val="single" w:sz="4" w:space="0" w:color="auto"/>
            </w:tcBorders>
            <w:shd w:val="clear" w:color="auto" w:fill="D3EDFB"/>
            <w:tcMar>
              <w:left w:w="28" w:type="dxa"/>
              <w:right w:w="28" w:type="dxa"/>
            </w:tcMar>
            <w:vAlign w:val="center"/>
          </w:tcPr>
          <w:p w:rsidR="00A87396" w:rsidRPr="002628A2" w:rsidRDefault="0015667C" w:rsidP="004A756E">
            <w:pPr>
              <w:tabs>
                <w:tab w:val="left" w:pos="885"/>
              </w:tabs>
              <w:ind w:rightChars="-41" w:right="-86"/>
              <w:jc w:val="center"/>
              <w:rPr>
                <w:bCs/>
                <w:sz w:val="13"/>
                <w:szCs w:val="13"/>
              </w:rPr>
            </w:pPr>
            <w:r w:rsidRPr="002628A2">
              <w:rPr>
                <w:color w:val="000000"/>
                <w:kern w:val="0"/>
                <w:sz w:val="13"/>
                <w:szCs w:val="13"/>
              </w:rPr>
              <w:t>3</w:t>
            </w:r>
            <w:r w:rsidRPr="002628A2">
              <w:rPr>
                <w:rFonts w:hint="eastAsia"/>
                <w:color w:val="000000"/>
                <w:kern w:val="0"/>
                <w:sz w:val="13"/>
                <w:szCs w:val="13"/>
              </w:rPr>
              <w:t>年、</w:t>
            </w:r>
            <w:r w:rsidRPr="002628A2">
              <w:rPr>
                <w:color w:val="000000"/>
                <w:kern w:val="0"/>
                <w:sz w:val="13"/>
                <w:szCs w:val="13"/>
              </w:rPr>
              <w:t>5</w:t>
            </w:r>
            <w:r w:rsidRPr="002628A2">
              <w:rPr>
                <w:rFonts w:hint="eastAsia"/>
                <w:color w:val="000000"/>
                <w:kern w:val="0"/>
                <w:sz w:val="13"/>
                <w:szCs w:val="13"/>
              </w:rPr>
              <w:t>年、</w:t>
            </w:r>
            <w:r w:rsidRPr="002628A2">
              <w:rPr>
                <w:color w:val="000000"/>
                <w:kern w:val="0"/>
                <w:sz w:val="13"/>
                <w:szCs w:val="13"/>
              </w:rPr>
              <w:t>7</w:t>
            </w:r>
            <w:r w:rsidRPr="002628A2">
              <w:rPr>
                <w:rFonts w:hint="eastAsia"/>
                <w:color w:val="000000"/>
                <w:kern w:val="0"/>
                <w:sz w:val="13"/>
                <w:szCs w:val="13"/>
              </w:rPr>
              <w:t>年、</w:t>
            </w:r>
            <w:r w:rsidRPr="002628A2">
              <w:rPr>
                <w:color w:val="000000"/>
                <w:kern w:val="0"/>
                <w:sz w:val="13"/>
                <w:szCs w:val="13"/>
              </w:rPr>
              <w:t>10</w:t>
            </w:r>
            <w:r w:rsidRPr="002628A2">
              <w:rPr>
                <w:rFonts w:hint="eastAsia"/>
                <w:color w:val="000000"/>
                <w:kern w:val="0"/>
                <w:sz w:val="13"/>
                <w:szCs w:val="13"/>
              </w:rPr>
              <w:t>年</w:t>
            </w:r>
          </w:p>
        </w:tc>
      </w:tr>
      <w:tr w:rsidR="00A87396" w:rsidRPr="009533B1" w:rsidTr="00A36366">
        <w:trPr>
          <w:trHeight w:hRule="exact" w:val="319"/>
        </w:trPr>
        <w:tc>
          <w:tcPr>
            <w:tcW w:w="1636" w:type="pct"/>
            <w:tcBorders>
              <w:top w:val="single" w:sz="4" w:space="0" w:color="auto"/>
            </w:tcBorders>
            <w:shd w:val="clear" w:color="auto" w:fill="0070C0"/>
            <w:tcMar>
              <w:left w:w="28" w:type="dxa"/>
              <w:right w:w="28" w:type="dxa"/>
            </w:tcMar>
            <w:vAlign w:val="center"/>
          </w:tcPr>
          <w:p w:rsidR="00A87396" w:rsidRPr="00094226" w:rsidRDefault="00A87396" w:rsidP="004A756E">
            <w:pPr>
              <w:jc w:val="center"/>
              <w:rPr>
                <w:b/>
                <w:bCs/>
                <w:color w:val="FFFFFF"/>
                <w:sz w:val="13"/>
                <w:szCs w:val="13"/>
              </w:rPr>
            </w:pPr>
            <w:r w:rsidRPr="00094226">
              <w:rPr>
                <w:b/>
                <w:bCs/>
                <w:color w:val="FFFFFF"/>
                <w:sz w:val="13"/>
                <w:szCs w:val="13"/>
              </w:rPr>
              <w:t>经济、财政和债务指标</w:t>
            </w:r>
          </w:p>
        </w:tc>
        <w:tc>
          <w:tcPr>
            <w:tcW w:w="1119" w:type="pct"/>
            <w:tcBorders>
              <w:top w:val="single" w:sz="4" w:space="0" w:color="auto"/>
            </w:tcBorders>
            <w:shd w:val="clear" w:color="auto" w:fill="0070C0"/>
            <w:tcMar>
              <w:left w:w="28" w:type="dxa"/>
              <w:right w:w="28" w:type="dxa"/>
            </w:tcMar>
            <w:vAlign w:val="center"/>
          </w:tcPr>
          <w:p w:rsidR="00A87396" w:rsidRPr="00094226" w:rsidRDefault="00A87396" w:rsidP="00B127C0">
            <w:pPr>
              <w:jc w:val="center"/>
              <w:rPr>
                <w:b/>
                <w:bCs/>
                <w:color w:val="FFFFFF"/>
                <w:sz w:val="13"/>
                <w:szCs w:val="13"/>
              </w:rPr>
            </w:pPr>
            <w:r w:rsidRPr="00094226">
              <w:rPr>
                <w:b/>
                <w:bCs/>
                <w:color w:val="FFFFFF"/>
                <w:sz w:val="13"/>
                <w:szCs w:val="13"/>
              </w:rPr>
              <w:t>201</w:t>
            </w:r>
            <w:r w:rsidR="00B127C0">
              <w:rPr>
                <w:rFonts w:hint="eastAsia"/>
                <w:b/>
                <w:bCs/>
                <w:color w:val="FFFFFF"/>
                <w:sz w:val="13"/>
                <w:szCs w:val="13"/>
              </w:rPr>
              <w:t>3</w:t>
            </w:r>
            <w:r>
              <w:rPr>
                <w:rFonts w:hint="eastAsia"/>
                <w:b/>
                <w:bCs/>
                <w:color w:val="FFFFFF"/>
                <w:sz w:val="13"/>
                <w:szCs w:val="13"/>
              </w:rPr>
              <w:t>年</w:t>
            </w:r>
          </w:p>
        </w:tc>
        <w:tc>
          <w:tcPr>
            <w:tcW w:w="1120" w:type="pct"/>
            <w:tcBorders>
              <w:top w:val="single" w:sz="4" w:space="0" w:color="auto"/>
            </w:tcBorders>
            <w:shd w:val="clear" w:color="auto" w:fill="0070C0"/>
            <w:tcMar>
              <w:left w:w="28" w:type="dxa"/>
              <w:right w:w="28" w:type="dxa"/>
            </w:tcMar>
            <w:vAlign w:val="center"/>
          </w:tcPr>
          <w:p w:rsidR="00A87396" w:rsidRPr="00094226" w:rsidRDefault="00A87396" w:rsidP="00B127C0">
            <w:pPr>
              <w:tabs>
                <w:tab w:val="left" w:pos="885"/>
              </w:tabs>
              <w:ind w:rightChars="-41" w:right="-86"/>
              <w:jc w:val="center"/>
              <w:rPr>
                <w:b/>
                <w:bCs/>
                <w:color w:val="FFFFFF"/>
                <w:sz w:val="13"/>
                <w:szCs w:val="13"/>
              </w:rPr>
            </w:pPr>
            <w:r w:rsidRPr="00094226">
              <w:rPr>
                <w:b/>
                <w:bCs/>
                <w:color w:val="FFFFFF"/>
                <w:sz w:val="13"/>
                <w:szCs w:val="13"/>
              </w:rPr>
              <w:t>201</w:t>
            </w:r>
            <w:r w:rsidR="00B127C0">
              <w:rPr>
                <w:rFonts w:hint="eastAsia"/>
                <w:b/>
                <w:bCs/>
                <w:color w:val="FFFFFF"/>
                <w:sz w:val="13"/>
                <w:szCs w:val="13"/>
              </w:rPr>
              <w:t>4</w:t>
            </w:r>
            <w:r>
              <w:rPr>
                <w:rFonts w:hint="eastAsia"/>
                <w:b/>
                <w:bCs/>
                <w:color w:val="FFFFFF"/>
                <w:sz w:val="13"/>
                <w:szCs w:val="13"/>
              </w:rPr>
              <w:t>年</w:t>
            </w:r>
          </w:p>
        </w:tc>
        <w:tc>
          <w:tcPr>
            <w:tcW w:w="1124" w:type="pct"/>
            <w:tcBorders>
              <w:top w:val="single" w:sz="4" w:space="0" w:color="auto"/>
            </w:tcBorders>
            <w:shd w:val="clear" w:color="auto" w:fill="0070C0"/>
            <w:tcMar>
              <w:left w:w="28" w:type="dxa"/>
              <w:right w:w="28" w:type="dxa"/>
            </w:tcMar>
            <w:vAlign w:val="center"/>
          </w:tcPr>
          <w:p w:rsidR="00A87396" w:rsidRPr="00094226" w:rsidRDefault="00A87396" w:rsidP="00B127C0">
            <w:pPr>
              <w:tabs>
                <w:tab w:val="left" w:pos="885"/>
              </w:tabs>
              <w:ind w:rightChars="-41" w:right="-86"/>
              <w:jc w:val="center"/>
              <w:rPr>
                <w:b/>
                <w:bCs/>
                <w:color w:val="FFFFFF"/>
                <w:sz w:val="13"/>
                <w:szCs w:val="13"/>
              </w:rPr>
            </w:pPr>
            <w:r w:rsidRPr="00094226">
              <w:rPr>
                <w:b/>
                <w:bCs/>
                <w:color w:val="FFFFFF"/>
                <w:sz w:val="13"/>
                <w:szCs w:val="13"/>
              </w:rPr>
              <w:t>201</w:t>
            </w:r>
            <w:r w:rsidR="00B127C0">
              <w:rPr>
                <w:rFonts w:hint="eastAsia"/>
                <w:b/>
                <w:bCs/>
                <w:color w:val="FFFFFF"/>
                <w:sz w:val="13"/>
                <w:szCs w:val="13"/>
              </w:rPr>
              <w:t>5</w:t>
            </w:r>
            <w:r>
              <w:rPr>
                <w:rFonts w:hint="eastAsia"/>
                <w:b/>
                <w:bCs/>
                <w:color w:val="FFFFFF"/>
                <w:sz w:val="13"/>
                <w:szCs w:val="13"/>
              </w:rPr>
              <w:t>年</w:t>
            </w:r>
          </w:p>
        </w:tc>
      </w:tr>
      <w:tr w:rsidR="00B127C0" w:rsidRPr="009533B1" w:rsidTr="00A36366">
        <w:trPr>
          <w:trHeight w:hRule="exact" w:val="319"/>
        </w:trPr>
        <w:tc>
          <w:tcPr>
            <w:tcW w:w="1636" w:type="pct"/>
            <w:shd w:val="clear" w:color="auto" w:fill="auto"/>
            <w:tcMar>
              <w:left w:w="28" w:type="dxa"/>
              <w:right w:w="28" w:type="dxa"/>
            </w:tcMar>
            <w:vAlign w:val="center"/>
          </w:tcPr>
          <w:p w:rsidR="00B127C0" w:rsidRPr="00094226" w:rsidRDefault="00B127C0" w:rsidP="00A36366">
            <w:pPr>
              <w:jc w:val="left"/>
              <w:rPr>
                <w:sz w:val="13"/>
                <w:szCs w:val="13"/>
              </w:rPr>
            </w:pPr>
            <w:r w:rsidRPr="00094226">
              <w:rPr>
                <w:sz w:val="13"/>
                <w:szCs w:val="13"/>
              </w:rPr>
              <w:t>地区生产总值（亿元）</w:t>
            </w:r>
          </w:p>
        </w:tc>
        <w:tc>
          <w:tcPr>
            <w:tcW w:w="1119" w:type="pct"/>
            <w:shd w:val="clear" w:color="auto" w:fill="auto"/>
            <w:tcMar>
              <w:left w:w="28" w:type="dxa"/>
              <w:right w:w="28" w:type="dxa"/>
            </w:tcMar>
            <w:vAlign w:val="center"/>
          </w:tcPr>
          <w:p w:rsidR="00B127C0" w:rsidRPr="00094226" w:rsidRDefault="00B127C0" w:rsidP="009F1687">
            <w:pPr>
              <w:tabs>
                <w:tab w:val="left" w:pos="885"/>
              </w:tabs>
              <w:jc w:val="center"/>
              <w:rPr>
                <w:sz w:val="13"/>
                <w:szCs w:val="13"/>
              </w:rPr>
            </w:pPr>
            <w:r w:rsidRPr="00094226">
              <w:rPr>
                <w:sz w:val="13"/>
                <w:szCs w:val="13"/>
              </w:rPr>
              <w:t>59,162</w:t>
            </w:r>
          </w:p>
        </w:tc>
        <w:tc>
          <w:tcPr>
            <w:tcW w:w="1120" w:type="pct"/>
            <w:shd w:val="clear" w:color="auto" w:fill="auto"/>
            <w:tcMar>
              <w:left w:w="28" w:type="dxa"/>
              <w:right w:w="28" w:type="dxa"/>
            </w:tcMar>
            <w:vAlign w:val="center"/>
          </w:tcPr>
          <w:p w:rsidR="00B127C0" w:rsidRPr="00094226" w:rsidRDefault="00B127C0" w:rsidP="009F1687">
            <w:pPr>
              <w:jc w:val="center"/>
              <w:rPr>
                <w:bCs/>
                <w:sz w:val="13"/>
                <w:szCs w:val="13"/>
              </w:rPr>
            </w:pPr>
            <w:r w:rsidRPr="00094226">
              <w:rPr>
                <w:bCs/>
                <w:sz w:val="13"/>
                <w:szCs w:val="13"/>
              </w:rPr>
              <w:t>65,088</w:t>
            </w:r>
          </w:p>
          <w:p w:rsidR="00B127C0" w:rsidRPr="00094226" w:rsidRDefault="00B127C0" w:rsidP="009F1687">
            <w:pPr>
              <w:tabs>
                <w:tab w:val="left" w:pos="885"/>
              </w:tabs>
              <w:jc w:val="center"/>
              <w:rPr>
                <w:sz w:val="13"/>
                <w:szCs w:val="13"/>
              </w:rPr>
            </w:pPr>
          </w:p>
        </w:tc>
        <w:tc>
          <w:tcPr>
            <w:tcW w:w="1124" w:type="pct"/>
            <w:shd w:val="clear" w:color="auto" w:fill="auto"/>
            <w:tcMar>
              <w:left w:w="28" w:type="dxa"/>
              <w:right w:w="28" w:type="dxa"/>
            </w:tcMar>
            <w:vAlign w:val="center"/>
          </w:tcPr>
          <w:p w:rsidR="00B127C0" w:rsidRPr="002628A2" w:rsidRDefault="005A1D58" w:rsidP="0070505D">
            <w:pPr>
              <w:jc w:val="center"/>
              <w:rPr>
                <w:bCs/>
                <w:sz w:val="13"/>
                <w:szCs w:val="13"/>
              </w:rPr>
            </w:pPr>
            <w:r w:rsidRPr="002628A2">
              <w:rPr>
                <w:bCs/>
                <w:sz w:val="13"/>
                <w:szCs w:val="13"/>
              </w:rPr>
              <w:t>70,116</w:t>
            </w:r>
          </w:p>
          <w:p w:rsidR="00B127C0" w:rsidRPr="00B127C0" w:rsidRDefault="00B127C0" w:rsidP="004A756E">
            <w:pPr>
              <w:tabs>
                <w:tab w:val="left" w:pos="885"/>
              </w:tabs>
              <w:jc w:val="center"/>
              <w:rPr>
                <w:sz w:val="13"/>
                <w:szCs w:val="13"/>
                <w:highlight w:val="yellow"/>
              </w:rPr>
            </w:pPr>
          </w:p>
        </w:tc>
      </w:tr>
      <w:tr w:rsidR="00B127C0" w:rsidRPr="009533B1" w:rsidTr="00A36366">
        <w:trPr>
          <w:trHeight w:hRule="exact" w:val="319"/>
        </w:trPr>
        <w:tc>
          <w:tcPr>
            <w:tcW w:w="1636" w:type="pct"/>
            <w:shd w:val="clear" w:color="auto" w:fill="D3EDFB"/>
            <w:tcMar>
              <w:left w:w="28" w:type="dxa"/>
              <w:right w:w="28" w:type="dxa"/>
            </w:tcMar>
            <w:vAlign w:val="center"/>
          </w:tcPr>
          <w:p w:rsidR="00B127C0" w:rsidRPr="00094226" w:rsidRDefault="00B127C0" w:rsidP="00A36366">
            <w:pPr>
              <w:jc w:val="left"/>
              <w:rPr>
                <w:sz w:val="13"/>
                <w:szCs w:val="13"/>
              </w:rPr>
            </w:pPr>
            <w:r w:rsidRPr="00094226">
              <w:rPr>
                <w:sz w:val="13"/>
                <w:szCs w:val="13"/>
              </w:rPr>
              <w:t>人均地区生产总值（元）</w:t>
            </w:r>
          </w:p>
        </w:tc>
        <w:tc>
          <w:tcPr>
            <w:tcW w:w="1119" w:type="pct"/>
            <w:shd w:val="clear" w:color="auto" w:fill="D3EDFB"/>
            <w:tcMar>
              <w:left w:w="28" w:type="dxa"/>
              <w:right w:w="28" w:type="dxa"/>
            </w:tcMar>
            <w:vAlign w:val="center"/>
          </w:tcPr>
          <w:p w:rsidR="00B127C0" w:rsidRPr="00094226" w:rsidRDefault="00B127C0" w:rsidP="009F1687">
            <w:pPr>
              <w:tabs>
                <w:tab w:val="left" w:pos="885"/>
              </w:tabs>
              <w:jc w:val="center"/>
              <w:rPr>
                <w:sz w:val="13"/>
                <w:szCs w:val="13"/>
              </w:rPr>
            </w:pPr>
            <w:r w:rsidRPr="00094226">
              <w:rPr>
                <w:sz w:val="13"/>
                <w:szCs w:val="13"/>
              </w:rPr>
              <w:t>74,607</w:t>
            </w:r>
          </w:p>
        </w:tc>
        <w:tc>
          <w:tcPr>
            <w:tcW w:w="1120" w:type="pct"/>
            <w:shd w:val="clear" w:color="auto" w:fill="D3EDFB"/>
            <w:tcMar>
              <w:left w:w="28" w:type="dxa"/>
              <w:right w:w="28" w:type="dxa"/>
            </w:tcMar>
            <w:vAlign w:val="center"/>
          </w:tcPr>
          <w:p w:rsidR="00B127C0" w:rsidRPr="00094226" w:rsidRDefault="00B127C0" w:rsidP="009F1687">
            <w:pPr>
              <w:tabs>
                <w:tab w:val="left" w:pos="885"/>
              </w:tabs>
              <w:jc w:val="center"/>
              <w:rPr>
                <w:sz w:val="13"/>
                <w:szCs w:val="13"/>
              </w:rPr>
            </w:pPr>
            <w:r w:rsidRPr="00094226">
              <w:rPr>
                <w:sz w:val="13"/>
                <w:szCs w:val="13"/>
              </w:rPr>
              <w:t>81,874</w:t>
            </w:r>
          </w:p>
        </w:tc>
        <w:tc>
          <w:tcPr>
            <w:tcW w:w="1124" w:type="pct"/>
            <w:shd w:val="clear" w:color="auto" w:fill="D3EDFB"/>
            <w:tcMar>
              <w:left w:w="28" w:type="dxa"/>
              <w:right w:w="28" w:type="dxa"/>
            </w:tcMar>
            <w:vAlign w:val="center"/>
          </w:tcPr>
          <w:p w:rsidR="00B127C0" w:rsidRPr="00B127C0" w:rsidRDefault="00BF7761" w:rsidP="004A756E">
            <w:pPr>
              <w:tabs>
                <w:tab w:val="left" w:pos="885"/>
              </w:tabs>
              <w:jc w:val="center"/>
              <w:rPr>
                <w:sz w:val="13"/>
                <w:szCs w:val="13"/>
                <w:highlight w:val="yellow"/>
              </w:rPr>
            </w:pPr>
            <w:r w:rsidRPr="002628A2">
              <w:rPr>
                <w:sz w:val="13"/>
                <w:szCs w:val="13"/>
              </w:rPr>
              <w:t>87,995</w:t>
            </w:r>
          </w:p>
        </w:tc>
      </w:tr>
      <w:tr w:rsidR="00B127C0" w:rsidRPr="009533B1" w:rsidTr="00A36366">
        <w:trPr>
          <w:trHeight w:hRule="exact" w:val="319"/>
        </w:trPr>
        <w:tc>
          <w:tcPr>
            <w:tcW w:w="1636" w:type="pct"/>
            <w:shd w:val="clear" w:color="auto" w:fill="auto"/>
            <w:tcMar>
              <w:left w:w="28" w:type="dxa"/>
              <w:right w:w="28" w:type="dxa"/>
            </w:tcMar>
            <w:vAlign w:val="center"/>
          </w:tcPr>
          <w:p w:rsidR="00B127C0" w:rsidRPr="00094226" w:rsidRDefault="00B127C0" w:rsidP="00A36366">
            <w:pPr>
              <w:jc w:val="left"/>
              <w:rPr>
                <w:sz w:val="13"/>
                <w:szCs w:val="13"/>
              </w:rPr>
            </w:pPr>
            <w:r w:rsidRPr="00094226">
              <w:rPr>
                <w:sz w:val="13"/>
                <w:szCs w:val="13"/>
              </w:rPr>
              <w:t>地区生产总值增速（</w:t>
            </w:r>
            <w:r w:rsidRPr="00094226">
              <w:rPr>
                <w:sz w:val="13"/>
                <w:szCs w:val="13"/>
              </w:rPr>
              <w:t>%</w:t>
            </w:r>
            <w:r w:rsidRPr="00094226">
              <w:rPr>
                <w:sz w:val="13"/>
                <w:szCs w:val="13"/>
              </w:rPr>
              <w:t>）</w:t>
            </w:r>
          </w:p>
        </w:tc>
        <w:tc>
          <w:tcPr>
            <w:tcW w:w="1119" w:type="pct"/>
            <w:shd w:val="clear" w:color="auto" w:fill="auto"/>
            <w:tcMar>
              <w:left w:w="28" w:type="dxa"/>
              <w:right w:w="28" w:type="dxa"/>
            </w:tcMar>
            <w:vAlign w:val="center"/>
          </w:tcPr>
          <w:p w:rsidR="00B127C0" w:rsidRPr="00094226" w:rsidRDefault="00B127C0" w:rsidP="009F1687">
            <w:pPr>
              <w:tabs>
                <w:tab w:val="left" w:pos="885"/>
              </w:tabs>
              <w:jc w:val="center"/>
              <w:rPr>
                <w:sz w:val="13"/>
                <w:szCs w:val="13"/>
              </w:rPr>
            </w:pPr>
            <w:r w:rsidRPr="00094226">
              <w:rPr>
                <w:sz w:val="13"/>
                <w:szCs w:val="13"/>
              </w:rPr>
              <w:t>9.60</w:t>
            </w:r>
          </w:p>
        </w:tc>
        <w:tc>
          <w:tcPr>
            <w:tcW w:w="1120" w:type="pct"/>
            <w:shd w:val="clear" w:color="auto" w:fill="auto"/>
            <w:tcMar>
              <w:left w:w="28" w:type="dxa"/>
              <w:right w:w="28" w:type="dxa"/>
            </w:tcMar>
            <w:vAlign w:val="center"/>
          </w:tcPr>
          <w:p w:rsidR="00B127C0" w:rsidRPr="00094226" w:rsidRDefault="00B127C0" w:rsidP="009F1687">
            <w:pPr>
              <w:tabs>
                <w:tab w:val="left" w:pos="885"/>
              </w:tabs>
              <w:jc w:val="center"/>
              <w:rPr>
                <w:sz w:val="13"/>
                <w:szCs w:val="13"/>
              </w:rPr>
            </w:pPr>
            <w:r w:rsidRPr="00094226">
              <w:rPr>
                <w:sz w:val="13"/>
                <w:szCs w:val="13"/>
              </w:rPr>
              <w:t>8.70</w:t>
            </w:r>
          </w:p>
        </w:tc>
        <w:tc>
          <w:tcPr>
            <w:tcW w:w="1124" w:type="pct"/>
            <w:shd w:val="clear" w:color="auto" w:fill="auto"/>
            <w:tcMar>
              <w:left w:w="28" w:type="dxa"/>
              <w:right w:w="28" w:type="dxa"/>
            </w:tcMar>
            <w:vAlign w:val="center"/>
          </w:tcPr>
          <w:p w:rsidR="00B127C0" w:rsidRPr="002628A2" w:rsidRDefault="005A1D58" w:rsidP="004A756E">
            <w:pPr>
              <w:tabs>
                <w:tab w:val="left" w:pos="885"/>
              </w:tabs>
              <w:jc w:val="center"/>
              <w:rPr>
                <w:sz w:val="13"/>
                <w:szCs w:val="13"/>
              </w:rPr>
            </w:pPr>
            <w:r w:rsidRPr="002628A2">
              <w:rPr>
                <w:sz w:val="13"/>
                <w:szCs w:val="13"/>
              </w:rPr>
              <w:t>8.50</w:t>
            </w:r>
          </w:p>
        </w:tc>
      </w:tr>
      <w:tr w:rsidR="00B127C0" w:rsidRPr="009533B1" w:rsidTr="00A36366">
        <w:trPr>
          <w:trHeight w:val="319"/>
        </w:trPr>
        <w:tc>
          <w:tcPr>
            <w:tcW w:w="1636" w:type="pct"/>
            <w:shd w:val="clear" w:color="auto" w:fill="D3EDFB"/>
            <w:tcMar>
              <w:left w:w="28" w:type="dxa"/>
              <w:right w:w="28" w:type="dxa"/>
            </w:tcMar>
            <w:vAlign w:val="center"/>
          </w:tcPr>
          <w:p w:rsidR="00B127C0" w:rsidRPr="00094226" w:rsidRDefault="00B127C0" w:rsidP="00A36366">
            <w:pPr>
              <w:jc w:val="left"/>
              <w:rPr>
                <w:sz w:val="13"/>
                <w:szCs w:val="13"/>
              </w:rPr>
            </w:pPr>
            <w:r w:rsidRPr="00094226">
              <w:rPr>
                <w:sz w:val="13"/>
                <w:szCs w:val="13"/>
              </w:rPr>
              <w:t>三次产业结构</w:t>
            </w:r>
          </w:p>
        </w:tc>
        <w:tc>
          <w:tcPr>
            <w:tcW w:w="1119" w:type="pct"/>
            <w:shd w:val="clear" w:color="auto" w:fill="D3EDFB"/>
            <w:tcMar>
              <w:left w:w="28" w:type="dxa"/>
              <w:right w:w="28" w:type="dxa"/>
            </w:tcMar>
            <w:vAlign w:val="center"/>
          </w:tcPr>
          <w:p w:rsidR="00B127C0" w:rsidRPr="00094226" w:rsidRDefault="00B127C0" w:rsidP="009F1687">
            <w:pPr>
              <w:tabs>
                <w:tab w:val="left" w:pos="885"/>
              </w:tabs>
              <w:jc w:val="center"/>
              <w:rPr>
                <w:sz w:val="13"/>
                <w:szCs w:val="13"/>
              </w:rPr>
            </w:pPr>
            <w:r w:rsidRPr="00094226">
              <w:rPr>
                <w:color w:val="000000"/>
                <w:sz w:val="13"/>
                <w:szCs w:val="13"/>
              </w:rPr>
              <w:t>6.1:49.2:44.7</w:t>
            </w:r>
          </w:p>
        </w:tc>
        <w:tc>
          <w:tcPr>
            <w:tcW w:w="1120" w:type="pct"/>
            <w:shd w:val="clear" w:color="auto" w:fill="D3EDFB"/>
            <w:tcMar>
              <w:left w:w="28" w:type="dxa"/>
              <w:right w:w="28" w:type="dxa"/>
            </w:tcMar>
            <w:vAlign w:val="center"/>
          </w:tcPr>
          <w:p w:rsidR="00B127C0" w:rsidRPr="00094226" w:rsidRDefault="00B127C0" w:rsidP="009F1687">
            <w:pPr>
              <w:tabs>
                <w:tab w:val="left" w:pos="885"/>
              </w:tabs>
              <w:jc w:val="center"/>
              <w:rPr>
                <w:sz w:val="13"/>
                <w:szCs w:val="13"/>
              </w:rPr>
            </w:pPr>
            <w:r w:rsidRPr="00094226">
              <w:rPr>
                <w:sz w:val="13"/>
                <w:szCs w:val="13"/>
              </w:rPr>
              <w:t>5.6:47.</w:t>
            </w:r>
            <w:r>
              <w:rPr>
                <w:rFonts w:hint="eastAsia"/>
                <w:sz w:val="13"/>
                <w:szCs w:val="13"/>
              </w:rPr>
              <w:t>4</w:t>
            </w:r>
            <w:r w:rsidRPr="00094226">
              <w:rPr>
                <w:sz w:val="13"/>
                <w:szCs w:val="13"/>
              </w:rPr>
              <w:t>:4</w:t>
            </w:r>
            <w:r>
              <w:rPr>
                <w:rFonts w:hint="eastAsia"/>
                <w:sz w:val="13"/>
                <w:szCs w:val="13"/>
              </w:rPr>
              <w:t>7</w:t>
            </w:r>
            <w:r w:rsidRPr="00094226">
              <w:rPr>
                <w:sz w:val="13"/>
                <w:szCs w:val="13"/>
              </w:rPr>
              <w:t>.</w:t>
            </w:r>
            <w:r>
              <w:rPr>
                <w:rFonts w:hint="eastAsia"/>
                <w:sz w:val="13"/>
                <w:szCs w:val="13"/>
              </w:rPr>
              <w:t>0</w:t>
            </w:r>
          </w:p>
        </w:tc>
        <w:tc>
          <w:tcPr>
            <w:tcW w:w="1124" w:type="pct"/>
            <w:shd w:val="clear" w:color="auto" w:fill="D3EDFB"/>
            <w:tcMar>
              <w:left w:w="28" w:type="dxa"/>
              <w:right w:w="28" w:type="dxa"/>
            </w:tcMar>
            <w:vAlign w:val="center"/>
          </w:tcPr>
          <w:p w:rsidR="00B127C0" w:rsidRPr="002628A2" w:rsidRDefault="00B127C0" w:rsidP="005A1D58">
            <w:pPr>
              <w:tabs>
                <w:tab w:val="left" w:pos="885"/>
              </w:tabs>
              <w:jc w:val="center"/>
              <w:rPr>
                <w:sz w:val="13"/>
                <w:szCs w:val="13"/>
              </w:rPr>
            </w:pPr>
            <w:r w:rsidRPr="002628A2">
              <w:rPr>
                <w:sz w:val="13"/>
                <w:szCs w:val="13"/>
              </w:rPr>
              <w:t>5.</w:t>
            </w:r>
            <w:r w:rsidR="005A1D58" w:rsidRPr="002628A2">
              <w:rPr>
                <w:sz w:val="13"/>
                <w:szCs w:val="13"/>
              </w:rPr>
              <w:t>7</w:t>
            </w:r>
            <w:r w:rsidRPr="002628A2">
              <w:rPr>
                <w:sz w:val="13"/>
                <w:szCs w:val="13"/>
              </w:rPr>
              <w:t>:</w:t>
            </w:r>
            <w:r w:rsidR="005A1D58" w:rsidRPr="002628A2">
              <w:rPr>
                <w:sz w:val="13"/>
                <w:szCs w:val="13"/>
              </w:rPr>
              <w:t>45</w:t>
            </w:r>
            <w:r w:rsidRPr="002628A2">
              <w:rPr>
                <w:sz w:val="13"/>
                <w:szCs w:val="13"/>
              </w:rPr>
              <w:t>.</w:t>
            </w:r>
            <w:r w:rsidR="005A1D58" w:rsidRPr="002628A2">
              <w:rPr>
                <w:sz w:val="13"/>
                <w:szCs w:val="13"/>
              </w:rPr>
              <w:t>7</w:t>
            </w:r>
            <w:r w:rsidRPr="002628A2">
              <w:rPr>
                <w:sz w:val="13"/>
                <w:szCs w:val="13"/>
              </w:rPr>
              <w:t>:4</w:t>
            </w:r>
            <w:r w:rsidR="005A1D58" w:rsidRPr="002628A2">
              <w:rPr>
                <w:sz w:val="13"/>
                <w:szCs w:val="13"/>
              </w:rPr>
              <w:t>8.6</w:t>
            </w:r>
          </w:p>
        </w:tc>
      </w:tr>
      <w:tr w:rsidR="005E584C" w:rsidRPr="009533B1" w:rsidTr="00A36366">
        <w:trPr>
          <w:trHeight w:val="319"/>
        </w:trPr>
        <w:tc>
          <w:tcPr>
            <w:tcW w:w="1636" w:type="pct"/>
            <w:tcMar>
              <w:left w:w="28" w:type="dxa"/>
              <w:right w:w="28" w:type="dxa"/>
            </w:tcMar>
            <w:vAlign w:val="center"/>
          </w:tcPr>
          <w:p w:rsidR="005E584C" w:rsidRPr="00094226" w:rsidRDefault="005E584C" w:rsidP="00A36366">
            <w:pPr>
              <w:jc w:val="left"/>
              <w:rPr>
                <w:sz w:val="13"/>
                <w:szCs w:val="13"/>
              </w:rPr>
            </w:pPr>
            <w:r w:rsidRPr="00094226">
              <w:rPr>
                <w:sz w:val="13"/>
                <w:szCs w:val="13"/>
              </w:rPr>
              <w:t>全省综合财力（亿元）</w:t>
            </w:r>
          </w:p>
        </w:tc>
        <w:tc>
          <w:tcPr>
            <w:tcW w:w="1119" w:type="pct"/>
            <w:tcMar>
              <w:left w:w="28" w:type="dxa"/>
              <w:right w:w="28" w:type="dxa"/>
            </w:tcMar>
            <w:vAlign w:val="center"/>
          </w:tcPr>
          <w:p w:rsidR="005E584C" w:rsidRPr="00094226" w:rsidRDefault="005E584C" w:rsidP="009F1687">
            <w:pPr>
              <w:jc w:val="center"/>
              <w:rPr>
                <w:sz w:val="13"/>
                <w:szCs w:val="13"/>
              </w:rPr>
            </w:pPr>
            <w:r w:rsidRPr="00094226">
              <w:rPr>
                <w:sz w:val="13"/>
                <w:szCs w:val="13"/>
              </w:rPr>
              <w:t>13,609</w:t>
            </w:r>
          </w:p>
        </w:tc>
        <w:tc>
          <w:tcPr>
            <w:tcW w:w="1120" w:type="pct"/>
            <w:tcMar>
              <w:left w:w="28" w:type="dxa"/>
              <w:right w:w="28" w:type="dxa"/>
            </w:tcMar>
            <w:vAlign w:val="center"/>
          </w:tcPr>
          <w:p w:rsidR="005E584C" w:rsidRPr="000F53B3" w:rsidRDefault="005E584C" w:rsidP="00A56527">
            <w:pPr>
              <w:jc w:val="center"/>
              <w:rPr>
                <w:sz w:val="13"/>
                <w:szCs w:val="13"/>
              </w:rPr>
            </w:pPr>
            <w:r w:rsidRPr="000F53B3">
              <w:rPr>
                <w:rFonts w:hint="eastAsia"/>
                <w:sz w:val="13"/>
                <w:szCs w:val="13"/>
              </w:rPr>
              <w:t>15,127</w:t>
            </w:r>
          </w:p>
        </w:tc>
        <w:tc>
          <w:tcPr>
            <w:tcW w:w="1124" w:type="pct"/>
            <w:tcMar>
              <w:left w:w="28" w:type="dxa"/>
              <w:right w:w="28" w:type="dxa"/>
            </w:tcMar>
          </w:tcPr>
          <w:p w:rsidR="005E584C" w:rsidRPr="002628A2" w:rsidRDefault="005E584C" w:rsidP="006D78E5">
            <w:pPr>
              <w:jc w:val="center"/>
              <w:rPr>
                <w:sz w:val="13"/>
                <w:szCs w:val="13"/>
              </w:rPr>
            </w:pPr>
            <w:r w:rsidRPr="002628A2">
              <w:rPr>
                <w:sz w:val="13"/>
                <w:szCs w:val="13"/>
              </w:rPr>
              <w:t>15,427</w:t>
            </w:r>
          </w:p>
        </w:tc>
      </w:tr>
      <w:tr w:rsidR="005E584C" w:rsidRPr="009533B1" w:rsidTr="00A36366">
        <w:trPr>
          <w:trHeight w:val="319"/>
        </w:trPr>
        <w:tc>
          <w:tcPr>
            <w:tcW w:w="1636" w:type="pct"/>
            <w:shd w:val="clear" w:color="auto" w:fill="D3EDFB"/>
            <w:tcMar>
              <w:left w:w="28" w:type="dxa"/>
              <w:right w:w="28" w:type="dxa"/>
            </w:tcMar>
            <w:vAlign w:val="center"/>
          </w:tcPr>
          <w:p w:rsidR="005E584C" w:rsidRPr="00094226" w:rsidRDefault="005E584C" w:rsidP="00A36366">
            <w:pPr>
              <w:jc w:val="left"/>
              <w:rPr>
                <w:sz w:val="13"/>
                <w:szCs w:val="13"/>
              </w:rPr>
            </w:pPr>
            <w:r w:rsidRPr="00094226">
              <w:rPr>
                <w:sz w:val="13"/>
                <w:szCs w:val="13"/>
              </w:rPr>
              <w:t>其中：省本级（亿元）</w:t>
            </w:r>
          </w:p>
        </w:tc>
        <w:tc>
          <w:tcPr>
            <w:tcW w:w="1119" w:type="pct"/>
            <w:shd w:val="clear" w:color="auto" w:fill="D3EDFB"/>
            <w:tcMar>
              <w:left w:w="28" w:type="dxa"/>
              <w:right w:w="28" w:type="dxa"/>
            </w:tcMar>
            <w:vAlign w:val="center"/>
          </w:tcPr>
          <w:p w:rsidR="005E584C" w:rsidRPr="00094226" w:rsidRDefault="005E584C" w:rsidP="009F1687">
            <w:pPr>
              <w:jc w:val="center"/>
              <w:rPr>
                <w:sz w:val="13"/>
                <w:szCs w:val="13"/>
              </w:rPr>
            </w:pPr>
            <w:r w:rsidRPr="00094226">
              <w:rPr>
                <w:sz w:val="13"/>
                <w:szCs w:val="13"/>
              </w:rPr>
              <w:t>1,126</w:t>
            </w:r>
          </w:p>
        </w:tc>
        <w:tc>
          <w:tcPr>
            <w:tcW w:w="1120" w:type="pct"/>
            <w:shd w:val="clear" w:color="auto" w:fill="D3EDFB"/>
            <w:tcMar>
              <w:left w:w="28" w:type="dxa"/>
              <w:right w:w="28" w:type="dxa"/>
            </w:tcMar>
            <w:vAlign w:val="center"/>
          </w:tcPr>
          <w:p w:rsidR="005E584C" w:rsidRPr="000F53B3" w:rsidRDefault="005E584C" w:rsidP="00A56527">
            <w:pPr>
              <w:jc w:val="center"/>
              <w:rPr>
                <w:sz w:val="13"/>
                <w:szCs w:val="13"/>
              </w:rPr>
            </w:pPr>
            <w:r w:rsidRPr="000F53B3">
              <w:rPr>
                <w:sz w:val="13"/>
                <w:szCs w:val="13"/>
              </w:rPr>
              <w:t>1,2</w:t>
            </w:r>
            <w:r w:rsidRPr="000F53B3">
              <w:rPr>
                <w:rFonts w:hint="eastAsia"/>
                <w:sz w:val="13"/>
                <w:szCs w:val="13"/>
              </w:rPr>
              <w:t>23</w:t>
            </w:r>
          </w:p>
        </w:tc>
        <w:tc>
          <w:tcPr>
            <w:tcW w:w="1124" w:type="pct"/>
            <w:shd w:val="clear" w:color="auto" w:fill="D3EDFB"/>
            <w:tcMar>
              <w:left w:w="28" w:type="dxa"/>
              <w:right w:w="28" w:type="dxa"/>
            </w:tcMar>
          </w:tcPr>
          <w:p w:rsidR="005E584C" w:rsidRPr="002628A2" w:rsidRDefault="005E584C" w:rsidP="006D78E5">
            <w:pPr>
              <w:jc w:val="center"/>
              <w:rPr>
                <w:sz w:val="13"/>
                <w:szCs w:val="13"/>
              </w:rPr>
            </w:pPr>
            <w:r w:rsidRPr="002628A2">
              <w:rPr>
                <w:sz w:val="13"/>
                <w:szCs w:val="13"/>
              </w:rPr>
              <w:t>1,380</w:t>
            </w:r>
          </w:p>
        </w:tc>
      </w:tr>
      <w:tr w:rsidR="005E584C" w:rsidRPr="009533B1" w:rsidTr="00A36366">
        <w:trPr>
          <w:trHeight w:val="319"/>
        </w:trPr>
        <w:tc>
          <w:tcPr>
            <w:tcW w:w="1636" w:type="pct"/>
            <w:shd w:val="clear" w:color="auto" w:fill="auto"/>
            <w:tcMar>
              <w:left w:w="28" w:type="dxa"/>
              <w:right w:w="28" w:type="dxa"/>
            </w:tcMar>
            <w:vAlign w:val="center"/>
          </w:tcPr>
          <w:p w:rsidR="005E584C" w:rsidRPr="00094226" w:rsidRDefault="005E584C" w:rsidP="00A36366">
            <w:pPr>
              <w:adjustRightInd w:val="0"/>
              <w:snapToGrid w:val="0"/>
              <w:jc w:val="left"/>
              <w:rPr>
                <w:sz w:val="13"/>
                <w:szCs w:val="13"/>
              </w:rPr>
            </w:pPr>
            <w:r w:rsidRPr="00094226">
              <w:rPr>
                <w:sz w:val="13"/>
                <w:szCs w:val="13"/>
              </w:rPr>
              <w:t>全省一般公共预算收入</w:t>
            </w:r>
            <w:r>
              <w:rPr>
                <w:rFonts w:hint="eastAsia"/>
                <w:sz w:val="13"/>
                <w:szCs w:val="13"/>
              </w:rPr>
              <w:t>（</w:t>
            </w:r>
            <w:r w:rsidRPr="00094226">
              <w:rPr>
                <w:sz w:val="13"/>
                <w:szCs w:val="13"/>
              </w:rPr>
              <w:t>亿元</w:t>
            </w:r>
            <w:r>
              <w:rPr>
                <w:rFonts w:hint="eastAsia"/>
                <w:sz w:val="13"/>
                <w:szCs w:val="13"/>
              </w:rPr>
              <w:t>）</w:t>
            </w:r>
          </w:p>
        </w:tc>
        <w:tc>
          <w:tcPr>
            <w:tcW w:w="1119" w:type="pct"/>
            <w:shd w:val="clear" w:color="auto" w:fill="auto"/>
            <w:tcMar>
              <w:left w:w="28" w:type="dxa"/>
              <w:right w:w="28" w:type="dxa"/>
            </w:tcMar>
            <w:vAlign w:val="center"/>
          </w:tcPr>
          <w:p w:rsidR="005E584C" w:rsidRPr="00094226" w:rsidRDefault="005E584C" w:rsidP="009F1687">
            <w:pPr>
              <w:tabs>
                <w:tab w:val="left" w:pos="885"/>
              </w:tabs>
              <w:jc w:val="center"/>
              <w:rPr>
                <w:sz w:val="13"/>
                <w:szCs w:val="13"/>
              </w:rPr>
            </w:pPr>
            <w:r w:rsidRPr="00094226">
              <w:rPr>
                <w:sz w:val="13"/>
                <w:szCs w:val="13"/>
              </w:rPr>
              <w:t>6,568</w:t>
            </w:r>
          </w:p>
        </w:tc>
        <w:tc>
          <w:tcPr>
            <w:tcW w:w="1120" w:type="pct"/>
            <w:shd w:val="clear" w:color="auto" w:fill="auto"/>
            <w:tcMar>
              <w:left w:w="28" w:type="dxa"/>
              <w:right w:w="28" w:type="dxa"/>
            </w:tcMar>
            <w:vAlign w:val="center"/>
          </w:tcPr>
          <w:p w:rsidR="005E584C" w:rsidRPr="000F53B3" w:rsidRDefault="005E584C" w:rsidP="00A56527">
            <w:pPr>
              <w:tabs>
                <w:tab w:val="left" w:pos="885"/>
              </w:tabs>
              <w:jc w:val="center"/>
              <w:rPr>
                <w:sz w:val="13"/>
                <w:szCs w:val="13"/>
              </w:rPr>
            </w:pPr>
            <w:r w:rsidRPr="000F53B3">
              <w:rPr>
                <w:sz w:val="13"/>
                <w:szCs w:val="13"/>
              </w:rPr>
              <w:t>7</w:t>
            </w:r>
            <w:r w:rsidRPr="000F53B3">
              <w:rPr>
                <w:rFonts w:hint="eastAsia"/>
                <w:sz w:val="13"/>
                <w:szCs w:val="13"/>
              </w:rPr>
              <w:t>,</w:t>
            </w:r>
            <w:r w:rsidRPr="000F53B3">
              <w:rPr>
                <w:sz w:val="13"/>
                <w:szCs w:val="13"/>
              </w:rPr>
              <w:t>233</w:t>
            </w:r>
          </w:p>
        </w:tc>
        <w:tc>
          <w:tcPr>
            <w:tcW w:w="1124" w:type="pct"/>
            <w:shd w:val="clear" w:color="auto" w:fill="auto"/>
            <w:tcMar>
              <w:left w:w="28" w:type="dxa"/>
              <w:right w:w="28" w:type="dxa"/>
            </w:tcMar>
            <w:vAlign w:val="center"/>
          </w:tcPr>
          <w:p w:rsidR="005E584C" w:rsidRPr="00B127C0" w:rsidRDefault="005E584C" w:rsidP="006D78E5">
            <w:pPr>
              <w:tabs>
                <w:tab w:val="left" w:pos="885"/>
              </w:tabs>
              <w:jc w:val="center"/>
              <w:rPr>
                <w:sz w:val="13"/>
                <w:szCs w:val="13"/>
                <w:highlight w:val="yellow"/>
              </w:rPr>
            </w:pPr>
            <w:r w:rsidRPr="002628A2">
              <w:rPr>
                <w:sz w:val="13"/>
                <w:szCs w:val="13"/>
              </w:rPr>
              <w:t>8,02</w:t>
            </w:r>
            <w:r>
              <w:rPr>
                <w:rFonts w:hint="eastAsia"/>
                <w:sz w:val="13"/>
                <w:szCs w:val="13"/>
              </w:rPr>
              <w:t>9</w:t>
            </w:r>
          </w:p>
        </w:tc>
      </w:tr>
      <w:tr w:rsidR="005E584C" w:rsidRPr="009533B1" w:rsidTr="00A36366">
        <w:trPr>
          <w:trHeight w:val="319"/>
        </w:trPr>
        <w:tc>
          <w:tcPr>
            <w:tcW w:w="1636" w:type="pct"/>
            <w:tcBorders>
              <w:bottom w:val="nil"/>
            </w:tcBorders>
            <w:shd w:val="clear" w:color="auto" w:fill="D3EDFB"/>
            <w:tcMar>
              <w:left w:w="28" w:type="dxa"/>
              <w:right w:w="28" w:type="dxa"/>
            </w:tcMar>
            <w:vAlign w:val="center"/>
          </w:tcPr>
          <w:p w:rsidR="005E584C" w:rsidRPr="00094226" w:rsidRDefault="005E584C" w:rsidP="00A36366">
            <w:pPr>
              <w:adjustRightInd w:val="0"/>
              <w:snapToGrid w:val="0"/>
              <w:spacing w:line="200" w:lineRule="exact"/>
              <w:jc w:val="left"/>
              <w:rPr>
                <w:spacing w:val="-10"/>
                <w:sz w:val="13"/>
                <w:szCs w:val="13"/>
              </w:rPr>
            </w:pPr>
            <w:r w:rsidRPr="00094226">
              <w:rPr>
                <w:sz w:val="13"/>
                <w:szCs w:val="13"/>
              </w:rPr>
              <w:t>全省一般公共预算财力</w:t>
            </w:r>
            <w:r w:rsidRPr="00094226">
              <w:rPr>
                <w:sz w:val="13"/>
                <w:szCs w:val="13"/>
              </w:rPr>
              <w:t>/</w:t>
            </w:r>
            <w:r w:rsidRPr="00094226">
              <w:rPr>
                <w:sz w:val="13"/>
                <w:szCs w:val="13"/>
              </w:rPr>
              <w:t>综合财力</w:t>
            </w:r>
            <w:r>
              <w:rPr>
                <w:rFonts w:hint="eastAsia"/>
                <w:sz w:val="13"/>
                <w:szCs w:val="13"/>
              </w:rPr>
              <w:t>（</w:t>
            </w:r>
            <w:r w:rsidRPr="00094226">
              <w:rPr>
                <w:sz w:val="13"/>
                <w:szCs w:val="13"/>
              </w:rPr>
              <w:t>%</w:t>
            </w:r>
            <w:r>
              <w:rPr>
                <w:rFonts w:hint="eastAsia"/>
                <w:sz w:val="13"/>
                <w:szCs w:val="13"/>
              </w:rPr>
              <w:t>）</w:t>
            </w:r>
          </w:p>
        </w:tc>
        <w:tc>
          <w:tcPr>
            <w:tcW w:w="1119" w:type="pct"/>
            <w:tcBorders>
              <w:bottom w:val="nil"/>
            </w:tcBorders>
            <w:shd w:val="clear" w:color="auto" w:fill="D3EDFB"/>
            <w:tcMar>
              <w:left w:w="28" w:type="dxa"/>
              <w:right w:w="28" w:type="dxa"/>
            </w:tcMar>
            <w:vAlign w:val="center"/>
          </w:tcPr>
          <w:p w:rsidR="005E584C" w:rsidRPr="00094226" w:rsidRDefault="005E584C" w:rsidP="009F1687">
            <w:pPr>
              <w:tabs>
                <w:tab w:val="left" w:pos="885"/>
              </w:tabs>
              <w:jc w:val="center"/>
              <w:rPr>
                <w:sz w:val="13"/>
                <w:szCs w:val="13"/>
              </w:rPr>
            </w:pPr>
            <w:r w:rsidRPr="00094226">
              <w:rPr>
                <w:sz w:val="13"/>
                <w:szCs w:val="13"/>
              </w:rPr>
              <w:t>58.30</w:t>
            </w:r>
          </w:p>
        </w:tc>
        <w:tc>
          <w:tcPr>
            <w:tcW w:w="1120" w:type="pct"/>
            <w:tcBorders>
              <w:bottom w:val="nil"/>
            </w:tcBorders>
            <w:shd w:val="clear" w:color="auto" w:fill="D3EDFB"/>
            <w:tcMar>
              <w:left w:w="28" w:type="dxa"/>
              <w:right w:w="28" w:type="dxa"/>
            </w:tcMar>
            <w:vAlign w:val="center"/>
          </w:tcPr>
          <w:p w:rsidR="005E584C" w:rsidRPr="000F53B3" w:rsidRDefault="005E584C" w:rsidP="00A56527">
            <w:pPr>
              <w:tabs>
                <w:tab w:val="left" w:pos="885"/>
              </w:tabs>
              <w:jc w:val="center"/>
              <w:rPr>
                <w:sz w:val="13"/>
                <w:szCs w:val="13"/>
              </w:rPr>
            </w:pPr>
            <w:r w:rsidRPr="000F53B3">
              <w:rPr>
                <w:rFonts w:hint="eastAsia"/>
                <w:sz w:val="13"/>
                <w:szCs w:val="13"/>
              </w:rPr>
              <w:t>59.53</w:t>
            </w:r>
          </w:p>
        </w:tc>
        <w:tc>
          <w:tcPr>
            <w:tcW w:w="1124" w:type="pct"/>
            <w:tcBorders>
              <w:bottom w:val="nil"/>
            </w:tcBorders>
            <w:shd w:val="clear" w:color="auto" w:fill="D3EDFB"/>
            <w:tcMar>
              <w:left w:w="28" w:type="dxa"/>
              <w:right w:w="28" w:type="dxa"/>
            </w:tcMar>
            <w:vAlign w:val="center"/>
          </w:tcPr>
          <w:p w:rsidR="005E584C" w:rsidRPr="00B127C0" w:rsidRDefault="005E584C" w:rsidP="004A756E">
            <w:pPr>
              <w:tabs>
                <w:tab w:val="left" w:pos="885"/>
              </w:tabs>
              <w:jc w:val="center"/>
              <w:rPr>
                <w:sz w:val="13"/>
                <w:szCs w:val="13"/>
                <w:highlight w:val="yellow"/>
              </w:rPr>
            </w:pPr>
            <w:r w:rsidRPr="002628A2">
              <w:rPr>
                <w:sz w:val="13"/>
                <w:szCs w:val="13"/>
              </w:rPr>
              <w:t>65.83</w:t>
            </w:r>
          </w:p>
        </w:tc>
      </w:tr>
      <w:tr w:rsidR="005E584C" w:rsidRPr="009533B1" w:rsidTr="00A36366">
        <w:trPr>
          <w:trHeight w:val="319"/>
        </w:trPr>
        <w:tc>
          <w:tcPr>
            <w:tcW w:w="1636" w:type="pct"/>
            <w:tcBorders>
              <w:bottom w:val="nil"/>
            </w:tcBorders>
            <w:shd w:val="clear" w:color="auto" w:fill="FFFFFF"/>
            <w:tcMar>
              <w:left w:w="28" w:type="dxa"/>
              <w:right w:w="28" w:type="dxa"/>
            </w:tcMar>
            <w:vAlign w:val="center"/>
          </w:tcPr>
          <w:p w:rsidR="005E584C" w:rsidRPr="00094226" w:rsidRDefault="005E584C" w:rsidP="00A36366">
            <w:pPr>
              <w:adjustRightInd w:val="0"/>
              <w:snapToGrid w:val="0"/>
              <w:spacing w:line="200" w:lineRule="exact"/>
              <w:jc w:val="left"/>
              <w:rPr>
                <w:sz w:val="13"/>
                <w:szCs w:val="13"/>
              </w:rPr>
            </w:pPr>
            <w:r w:rsidRPr="00094226">
              <w:rPr>
                <w:sz w:val="13"/>
                <w:szCs w:val="13"/>
              </w:rPr>
              <w:t>全省政府性基金财力</w:t>
            </w:r>
            <w:r w:rsidRPr="00094226">
              <w:rPr>
                <w:sz w:val="13"/>
                <w:szCs w:val="13"/>
              </w:rPr>
              <w:t>/</w:t>
            </w:r>
            <w:r w:rsidRPr="00094226">
              <w:rPr>
                <w:sz w:val="13"/>
                <w:szCs w:val="13"/>
              </w:rPr>
              <w:t>综合财力（</w:t>
            </w:r>
            <w:r w:rsidRPr="00094226">
              <w:rPr>
                <w:sz w:val="13"/>
                <w:szCs w:val="13"/>
              </w:rPr>
              <w:t>%</w:t>
            </w:r>
            <w:r w:rsidRPr="00094226">
              <w:rPr>
                <w:sz w:val="13"/>
                <w:szCs w:val="13"/>
              </w:rPr>
              <w:t>）</w:t>
            </w:r>
          </w:p>
        </w:tc>
        <w:tc>
          <w:tcPr>
            <w:tcW w:w="1119" w:type="pct"/>
            <w:tcBorders>
              <w:bottom w:val="nil"/>
            </w:tcBorders>
            <w:shd w:val="clear" w:color="auto" w:fill="FFFFFF"/>
            <w:tcMar>
              <w:left w:w="28" w:type="dxa"/>
              <w:right w:w="28" w:type="dxa"/>
            </w:tcMar>
            <w:vAlign w:val="center"/>
          </w:tcPr>
          <w:p w:rsidR="005E584C" w:rsidRPr="00094226" w:rsidRDefault="005E584C" w:rsidP="009F1687">
            <w:pPr>
              <w:tabs>
                <w:tab w:val="left" w:pos="885"/>
              </w:tabs>
              <w:jc w:val="center"/>
              <w:rPr>
                <w:sz w:val="13"/>
                <w:szCs w:val="13"/>
              </w:rPr>
            </w:pPr>
            <w:r w:rsidRPr="00094226">
              <w:rPr>
                <w:sz w:val="13"/>
                <w:szCs w:val="13"/>
              </w:rPr>
              <w:t>41.70</w:t>
            </w:r>
          </w:p>
        </w:tc>
        <w:tc>
          <w:tcPr>
            <w:tcW w:w="1120" w:type="pct"/>
            <w:tcBorders>
              <w:bottom w:val="nil"/>
            </w:tcBorders>
            <w:shd w:val="clear" w:color="auto" w:fill="FFFFFF"/>
            <w:tcMar>
              <w:left w:w="28" w:type="dxa"/>
              <w:right w:w="28" w:type="dxa"/>
            </w:tcMar>
            <w:vAlign w:val="center"/>
          </w:tcPr>
          <w:p w:rsidR="005E584C" w:rsidRPr="000665F3" w:rsidRDefault="005E584C" w:rsidP="00A56527">
            <w:pPr>
              <w:tabs>
                <w:tab w:val="left" w:pos="885"/>
              </w:tabs>
              <w:jc w:val="center"/>
              <w:rPr>
                <w:sz w:val="13"/>
                <w:szCs w:val="13"/>
              </w:rPr>
            </w:pPr>
            <w:r w:rsidRPr="0068175C">
              <w:rPr>
                <w:rFonts w:hint="eastAsia"/>
                <w:sz w:val="13"/>
                <w:szCs w:val="13"/>
              </w:rPr>
              <w:t>40.</w:t>
            </w:r>
            <w:r>
              <w:rPr>
                <w:rFonts w:hint="eastAsia"/>
                <w:sz w:val="13"/>
                <w:szCs w:val="13"/>
              </w:rPr>
              <w:t>47</w:t>
            </w:r>
          </w:p>
        </w:tc>
        <w:tc>
          <w:tcPr>
            <w:tcW w:w="1124" w:type="pct"/>
            <w:tcBorders>
              <w:bottom w:val="nil"/>
            </w:tcBorders>
            <w:shd w:val="clear" w:color="auto" w:fill="FFFFFF"/>
            <w:tcMar>
              <w:left w:w="28" w:type="dxa"/>
              <w:right w:w="28" w:type="dxa"/>
            </w:tcMar>
            <w:vAlign w:val="center"/>
          </w:tcPr>
          <w:p w:rsidR="005E584C" w:rsidRPr="00B127C0" w:rsidRDefault="005E584C" w:rsidP="004A756E">
            <w:pPr>
              <w:tabs>
                <w:tab w:val="left" w:pos="885"/>
              </w:tabs>
              <w:jc w:val="center"/>
              <w:rPr>
                <w:sz w:val="13"/>
                <w:szCs w:val="13"/>
                <w:highlight w:val="yellow"/>
              </w:rPr>
            </w:pPr>
            <w:r w:rsidRPr="002628A2">
              <w:rPr>
                <w:sz w:val="13"/>
                <w:szCs w:val="13"/>
              </w:rPr>
              <w:t>34.17</w:t>
            </w:r>
          </w:p>
        </w:tc>
      </w:tr>
      <w:tr w:rsidR="006D78E5" w:rsidRPr="009533B1" w:rsidTr="00A36366">
        <w:trPr>
          <w:trHeight w:val="319"/>
        </w:trPr>
        <w:tc>
          <w:tcPr>
            <w:tcW w:w="1636" w:type="pct"/>
            <w:tcBorders>
              <w:top w:val="nil"/>
            </w:tcBorders>
            <w:shd w:val="clear" w:color="auto" w:fill="D3EDFB"/>
            <w:tcMar>
              <w:left w:w="28" w:type="dxa"/>
              <w:right w:w="28" w:type="dxa"/>
            </w:tcMar>
            <w:vAlign w:val="center"/>
          </w:tcPr>
          <w:p w:rsidR="006D78E5" w:rsidRPr="00094226" w:rsidRDefault="006D78E5" w:rsidP="00A36366">
            <w:pPr>
              <w:spacing w:line="200" w:lineRule="exact"/>
              <w:jc w:val="left"/>
              <w:rPr>
                <w:sz w:val="13"/>
                <w:szCs w:val="13"/>
              </w:rPr>
            </w:pPr>
            <w:r w:rsidRPr="002628A2">
              <w:rPr>
                <w:rFonts w:hint="eastAsia"/>
                <w:sz w:val="13"/>
                <w:szCs w:val="13"/>
              </w:rPr>
              <w:t>全省政府债务（亿元）</w:t>
            </w:r>
          </w:p>
        </w:tc>
        <w:tc>
          <w:tcPr>
            <w:tcW w:w="1119" w:type="pct"/>
            <w:tcBorders>
              <w:top w:val="nil"/>
            </w:tcBorders>
            <w:shd w:val="clear" w:color="auto" w:fill="D3EDFB"/>
            <w:tcMar>
              <w:left w:w="28" w:type="dxa"/>
              <w:right w:w="28" w:type="dxa"/>
            </w:tcMar>
            <w:vAlign w:val="center"/>
          </w:tcPr>
          <w:p w:rsidR="006D78E5" w:rsidRPr="00094226" w:rsidRDefault="006D78E5" w:rsidP="009F1687">
            <w:pPr>
              <w:tabs>
                <w:tab w:val="left" w:pos="885"/>
              </w:tabs>
              <w:jc w:val="center"/>
              <w:rPr>
                <w:sz w:val="13"/>
                <w:szCs w:val="13"/>
              </w:rPr>
            </w:pPr>
            <w:r w:rsidRPr="00094226">
              <w:rPr>
                <w:sz w:val="13"/>
                <w:szCs w:val="13"/>
              </w:rPr>
              <w:t>—</w:t>
            </w:r>
          </w:p>
        </w:tc>
        <w:tc>
          <w:tcPr>
            <w:tcW w:w="1120" w:type="pct"/>
            <w:tcBorders>
              <w:top w:val="nil"/>
            </w:tcBorders>
            <w:shd w:val="clear" w:color="auto" w:fill="D3EDFB"/>
            <w:tcMar>
              <w:left w:w="28" w:type="dxa"/>
              <w:right w:w="28" w:type="dxa"/>
            </w:tcMar>
            <w:vAlign w:val="center"/>
          </w:tcPr>
          <w:p w:rsidR="006D78E5" w:rsidRPr="00094226" w:rsidRDefault="006D78E5" w:rsidP="00BA6654">
            <w:pPr>
              <w:tabs>
                <w:tab w:val="left" w:pos="885"/>
              </w:tabs>
              <w:jc w:val="center"/>
              <w:rPr>
                <w:sz w:val="13"/>
                <w:szCs w:val="13"/>
              </w:rPr>
            </w:pPr>
            <w:r w:rsidRPr="002628A2">
              <w:rPr>
                <w:sz w:val="13"/>
                <w:szCs w:val="13"/>
              </w:rPr>
              <w:t>10,643</w:t>
            </w:r>
          </w:p>
        </w:tc>
        <w:tc>
          <w:tcPr>
            <w:tcW w:w="1124" w:type="pct"/>
            <w:tcBorders>
              <w:top w:val="nil"/>
            </w:tcBorders>
            <w:shd w:val="clear" w:color="auto" w:fill="D3EDFB"/>
            <w:tcMar>
              <w:left w:w="28" w:type="dxa"/>
              <w:right w:w="28" w:type="dxa"/>
            </w:tcMar>
            <w:vAlign w:val="center"/>
          </w:tcPr>
          <w:p w:rsidR="006D78E5" w:rsidRPr="002628A2" w:rsidRDefault="006D78E5" w:rsidP="00BA6654">
            <w:pPr>
              <w:tabs>
                <w:tab w:val="left" w:pos="885"/>
              </w:tabs>
              <w:jc w:val="center"/>
              <w:rPr>
                <w:sz w:val="13"/>
                <w:szCs w:val="13"/>
              </w:rPr>
            </w:pPr>
            <w:r w:rsidRPr="002628A2">
              <w:rPr>
                <w:sz w:val="13"/>
                <w:szCs w:val="13"/>
              </w:rPr>
              <w:t>10,556</w:t>
            </w:r>
          </w:p>
        </w:tc>
      </w:tr>
      <w:tr w:rsidR="006D78E5" w:rsidRPr="009533B1" w:rsidTr="00A36366">
        <w:trPr>
          <w:trHeight w:val="319"/>
        </w:trPr>
        <w:tc>
          <w:tcPr>
            <w:tcW w:w="1636" w:type="pct"/>
            <w:shd w:val="clear" w:color="auto" w:fill="auto"/>
            <w:tcMar>
              <w:left w:w="28" w:type="dxa"/>
              <w:right w:w="28" w:type="dxa"/>
            </w:tcMar>
            <w:vAlign w:val="center"/>
          </w:tcPr>
          <w:p w:rsidR="006D78E5" w:rsidRPr="00094226" w:rsidRDefault="006D78E5" w:rsidP="00A36366">
            <w:pPr>
              <w:jc w:val="left"/>
              <w:rPr>
                <w:sz w:val="13"/>
                <w:szCs w:val="13"/>
              </w:rPr>
            </w:pPr>
            <w:r w:rsidRPr="002628A2">
              <w:rPr>
                <w:rFonts w:hint="eastAsia"/>
                <w:sz w:val="13"/>
                <w:szCs w:val="13"/>
              </w:rPr>
              <w:t>其中：一般债务（亿元）</w:t>
            </w:r>
          </w:p>
        </w:tc>
        <w:tc>
          <w:tcPr>
            <w:tcW w:w="1119" w:type="pct"/>
            <w:shd w:val="clear" w:color="auto" w:fill="auto"/>
            <w:tcMar>
              <w:left w:w="28" w:type="dxa"/>
              <w:right w:w="28" w:type="dxa"/>
            </w:tcMar>
            <w:vAlign w:val="center"/>
          </w:tcPr>
          <w:p w:rsidR="006D78E5" w:rsidRPr="000665F3" w:rsidRDefault="006D78E5" w:rsidP="009F1687">
            <w:pPr>
              <w:tabs>
                <w:tab w:val="left" w:pos="885"/>
              </w:tabs>
              <w:jc w:val="center"/>
              <w:rPr>
                <w:sz w:val="13"/>
                <w:szCs w:val="13"/>
                <w:highlight w:val="yellow"/>
              </w:rPr>
            </w:pPr>
            <w:r w:rsidRPr="00094226">
              <w:rPr>
                <w:sz w:val="13"/>
                <w:szCs w:val="13"/>
              </w:rPr>
              <w:t>—</w:t>
            </w:r>
          </w:p>
        </w:tc>
        <w:tc>
          <w:tcPr>
            <w:tcW w:w="1120" w:type="pct"/>
            <w:shd w:val="clear" w:color="auto" w:fill="auto"/>
            <w:tcMar>
              <w:left w:w="28" w:type="dxa"/>
              <w:right w:w="28" w:type="dxa"/>
            </w:tcMar>
          </w:tcPr>
          <w:p w:rsidR="006D78E5" w:rsidRPr="00094226" w:rsidRDefault="006D78E5" w:rsidP="00BA6654">
            <w:pPr>
              <w:tabs>
                <w:tab w:val="left" w:pos="885"/>
              </w:tabs>
              <w:jc w:val="center"/>
              <w:rPr>
                <w:sz w:val="13"/>
                <w:szCs w:val="13"/>
              </w:rPr>
            </w:pPr>
            <w:r w:rsidRPr="002628A2">
              <w:rPr>
                <w:sz w:val="13"/>
                <w:szCs w:val="13"/>
              </w:rPr>
              <w:t>6,264</w:t>
            </w:r>
          </w:p>
        </w:tc>
        <w:tc>
          <w:tcPr>
            <w:tcW w:w="1124" w:type="pct"/>
            <w:shd w:val="clear" w:color="auto" w:fill="auto"/>
            <w:tcMar>
              <w:left w:w="28" w:type="dxa"/>
              <w:right w:w="28" w:type="dxa"/>
            </w:tcMar>
          </w:tcPr>
          <w:p w:rsidR="006D78E5" w:rsidRPr="002628A2" w:rsidRDefault="006D78E5" w:rsidP="00BA6654">
            <w:pPr>
              <w:tabs>
                <w:tab w:val="left" w:pos="885"/>
              </w:tabs>
              <w:jc w:val="center"/>
              <w:rPr>
                <w:sz w:val="13"/>
                <w:szCs w:val="13"/>
              </w:rPr>
            </w:pPr>
            <w:r w:rsidRPr="002628A2">
              <w:rPr>
                <w:sz w:val="13"/>
                <w:szCs w:val="13"/>
              </w:rPr>
              <w:t>6,249</w:t>
            </w:r>
          </w:p>
        </w:tc>
      </w:tr>
      <w:tr w:rsidR="006D78E5" w:rsidRPr="009533B1" w:rsidTr="00A36366">
        <w:trPr>
          <w:trHeight w:val="319"/>
        </w:trPr>
        <w:tc>
          <w:tcPr>
            <w:tcW w:w="1636" w:type="pct"/>
            <w:shd w:val="clear" w:color="auto" w:fill="D3EDFB"/>
            <w:tcMar>
              <w:left w:w="28" w:type="dxa"/>
              <w:right w:w="28" w:type="dxa"/>
            </w:tcMar>
            <w:vAlign w:val="center"/>
          </w:tcPr>
          <w:p w:rsidR="006D78E5" w:rsidRPr="002628A2" w:rsidRDefault="006D78E5" w:rsidP="00A36366">
            <w:pPr>
              <w:spacing w:line="200" w:lineRule="exact"/>
              <w:ind w:firstLineChars="300" w:firstLine="390"/>
              <w:jc w:val="left"/>
              <w:rPr>
                <w:sz w:val="13"/>
                <w:szCs w:val="13"/>
              </w:rPr>
            </w:pPr>
            <w:r w:rsidRPr="002628A2">
              <w:rPr>
                <w:rFonts w:hint="eastAsia"/>
                <w:sz w:val="13"/>
                <w:szCs w:val="13"/>
              </w:rPr>
              <w:t>专项债务（亿元）</w:t>
            </w:r>
          </w:p>
        </w:tc>
        <w:tc>
          <w:tcPr>
            <w:tcW w:w="1119" w:type="pct"/>
            <w:shd w:val="clear" w:color="auto" w:fill="D3EDFB"/>
            <w:tcMar>
              <w:left w:w="28" w:type="dxa"/>
              <w:right w:w="28" w:type="dxa"/>
            </w:tcMar>
            <w:vAlign w:val="center"/>
          </w:tcPr>
          <w:p w:rsidR="006D78E5" w:rsidRPr="00C1744D" w:rsidDel="009C66D5" w:rsidRDefault="006D78E5" w:rsidP="009F1687">
            <w:pPr>
              <w:jc w:val="center"/>
              <w:rPr>
                <w:sz w:val="13"/>
                <w:szCs w:val="13"/>
              </w:rPr>
            </w:pPr>
            <w:r w:rsidRPr="00094226">
              <w:rPr>
                <w:sz w:val="13"/>
                <w:szCs w:val="13"/>
              </w:rPr>
              <w:t>—</w:t>
            </w:r>
          </w:p>
        </w:tc>
        <w:tc>
          <w:tcPr>
            <w:tcW w:w="1120" w:type="pct"/>
            <w:shd w:val="clear" w:color="auto" w:fill="D3EDFB"/>
            <w:tcMar>
              <w:left w:w="28" w:type="dxa"/>
              <w:right w:w="28" w:type="dxa"/>
            </w:tcMar>
          </w:tcPr>
          <w:p w:rsidR="006D78E5" w:rsidRPr="00094226" w:rsidRDefault="006D78E5" w:rsidP="00BA6654">
            <w:pPr>
              <w:tabs>
                <w:tab w:val="left" w:pos="885"/>
              </w:tabs>
              <w:jc w:val="center"/>
              <w:rPr>
                <w:sz w:val="13"/>
                <w:szCs w:val="13"/>
              </w:rPr>
            </w:pPr>
            <w:r w:rsidRPr="002628A2">
              <w:rPr>
                <w:sz w:val="13"/>
                <w:szCs w:val="13"/>
              </w:rPr>
              <w:t>4,379</w:t>
            </w:r>
          </w:p>
        </w:tc>
        <w:tc>
          <w:tcPr>
            <w:tcW w:w="1124" w:type="pct"/>
            <w:shd w:val="clear" w:color="auto" w:fill="D3EDFB"/>
            <w:tcMar>
              <w:left w:w="28" w:type="dxa"/>
              <w:right w:w="28" w:type="dxa"/>
            </w:tcMar>
          </w:tcPr>
          <w:p w:rsidR="006D78E5" w:rsidRPr="002628A2" w:rsidRDefault="006D78E5" w:rsidP="00BA6654">
            <w:pPr>
              <w:tabs>
                <w:tab w:val="left" w:pos="885"/>
              </w:tabs>
              <w:jc w:val="center"/>
              <w:rPr>
                <w:sz w:val="13"/>
                <w:szCs w:val="13"/>
              </w:rPr>
            </w:pPr>
            <w:r w:rsidRPr="002628A2">
              <w:rPr>
                <w:sz w:val="13"/>
                <w:szCs w:val="13"/>
              </w:rPr>
              <w:t>4,307</w:t>
            </w:r>
          </w:p>
        </w:tc>
      </w:tr>
      <w:tr w:rsidR="00B127C0" w:rsidRPr="009533B1" w:rsidTr="00A36366">
        <w:trPr>
          <w:trHeight w:val="319"/>
        </w:trPr>
        <w:tc>
          <w:tcPr>
            <w:tcW w:w="1636" w:type="pct"/>
            <w:shd w:val="clear" w:color="auto" w:fill="auto"/>
            <w:tcMar>
              <w:left w:w="28" w:type="dxa"/>
              <w:right w:w="28" w:type="dxa"/>
            </w:tcMar>
            <w:vAlign w:val="center"/>
          </w:tcPr>
          <w:p w:rsidR="00B127C0" w:rsidRPr="00094226" w:rsidRDefault="006D78E5" w:rsidP="00A36366">
            <w:pPr>
              <w:spacing w:line="200" w:lineRule="exact"/>
              <w:jc w:val="left"/>
              <w:rPr>
                <w:sz w:val="13"/>
                <w:szCs w:val="13"/>
              </w:rPr>
            </w:pPr>
            <w:r w:rsidRPr="002628A2">
              <w:rPr>
                <w:rFonts w:hint="eastAsia"/>
                <w:sz w:val="13"/>
                <w:szCs w:val="13"/>
              </w:rPr>
              <w:t>全省政府债务率（</w:t>
            </w:r>
            <w:r w:rsidRPr="002628A2">
              <w:rPr>
                <w:sz w:val="13"/>
                <w:szCs w:val="13"/>
              </w:rPr>
              <w:t>%</w:t>
            </w:r>
            <w:r w:rsidRPr="002628A2">
              <w:rPr>
                <w:rFonts w:hint="eastAsia"/>
                <w:sz w:val="13"/>
                <w:szCs w:val="13"/>
              </w:rPr>
              <w:t>）</w:t>
            </w:r>
          </w:p>
        </w:tc>
        <w:tc>
          <w:tcPr>
            <w:tcW w:w="1119" w:type="pct"/>
            <w:shd w:val="clear" w:color="auto" w:fill="auto"/>
            <w:tcMar>
              <w:left w:w="28" w:type="dxa"/>
              <w:right w:w="28" w:type="dxa"/>
            </w:tcMar>
            <w:vAlign w:val="center"/>
          </w:tcPr>
          <w:p w:rsidR="00B127C0" w:rsidRPr="00C1744D" w:rsidDel="009C66D5" w:rsidRDefault="00B127C0" w:rsidP="009F1687">
            <w:pPr>
              <w:jc w:val="center"/>
              <w:rPr>
                <w:sz w:val="13"/>
                <w:szCs w:val="13"/>
              </w:rPr>
            </w:pPr>
            <w:r w:rsidRPr="000665F3">
              <w:rPr>
                <w:rFonts w:hint="eastAsia"/>
                <w:sz w:val="13"/>
                <w:szCs w:val="13"/>
              </w:rPr>
              <w:t>—</w:t>
            </w:r>
          </w:p>
        </w:tc>
        <w:tc>
          <w:tcPr>
            <w:tcW w:w="1120" w:type="pct"/>
            <w:shd w:val="clear" w:color="auto" w:fill="auto"/>
            <w:tcMar>
              <w:left w:w="28" w:type="dxa"/>
              <w:right w:w="28" w:type="dxa"/>
            </w:tcMar>
            <w:vAlign w:val="center"/>
          </w:tcPr>
          <w:p w:rsidR="00B127C0" w:rsidRPr="00094226" w:rsidRDefault="00B127C0" w:rsidP="009F1687">
            <w:pPr>
              <w:jc w:val="center"/>
              <w:rPr>
                <w:sz w:val="13"/>
                <w:szCs w:val="13"/>
              </w:rPr>
            </w:pPr>
            <w:r w:rsidRPr="00094226">
              <w:rPr>
                <w:sz w:val="13"/>
                <w:szCs w:val="13"/>
              </w:rPr>
              <w:t>—</w:t>
            </w:r>
          </w:p>
        </w:tc>
        <w:tc>
          <w:tcPr>
            <w:tcW w:w="1124" w:type="pct"/>
            <w:shd w:val="clear" w:color="auto" w:fill="auto"/>
            <w:tcMar>
              <w:left w:w="28" w:type="dxa"/>
              <w:right w:w="28" w:type="dxa"/>
            </w:tcMar>
            <w:vAlign w:val="center"/>
          </w:tcPr>
          <w:p w:rsidR="00B127C0" w:rsidRPr="00B127C0" w:rsidRDefault="006D78E5" w:rsidP="004A756E">
            <w:pPr>
              <w:jc w:val="center"/>
              <w:rPr>
                <w:sz w:val="13"/>
                <w:szCs w:val="13"/>
                <w:highlight w:val="yellow"/>
              </w:rPr>
            </w:pPr>
            <w:r w:rsidRPr="002628A2">
              <w:rPr>
                <w:sz w:val="13"/>
                <w:szCs w:val="13"/>
              </w:rPr>
              <w:t>68.50</w:t>
            </w:r>
          </w:p>
        </w:tc>
      </w:tr>
    </w:tbl>
    <w:p w:rsidR="00B12D88" w:rsidRPr="008A656D" w:rsidRDefault="00B12D88" w:rsidP="00B12D88">
      <w:pPr>
        <w:spacing w:line="200" w:lineRule="exact"/>
        <w:ind w:rightChars="-326" w:right="-685"/>
        <w:jc w:val="left"/>
        <w:rPr>
          <w:rFonts w:eastAsia="楷体"/>
          <w:bCs/>
          <w:spacing w:val="-8"/>
          <w:sz w:val="13"/>
          <w:szCs w:val="13"/>
        </w:rPr>
      </w:pPr>
      <w:r>
        <w:rPr>
          <w:rFonts w:eastAsia="楷体" w:hint="eastAsia"/>
          <w:bCs/>
          <w:spacing w:val="-8"/>
          <w:sz w:val="13"/>
          <w:szCs w:val="13"/>
        </w:rPr>
        <w:t>注：</w:t>
      </w:r>
      <w:r w:rsidRPr="008A656D">
        <w:rPr>
          <w:rFonts w:eastAsia="楷体" w:hint="eastAsia"/>
          <w:bCs/>
          <w:spacing w:val="-8"/>
          <w:sz w:val="13"/>
          <w:szCs w:val="13"/>
        </w:rPr>
        <w:t>综合财力</w:t>
      </w:r>
      <w:r w:rsidRPr="008A656D">
        <w:rPr>
          <w:rFonts w:eastAsia="楷体" w:hint="eastAsia"/>
          <w:bCs/>
          <w:spacing w:val="-8"/>
          <w:sz w:val="13"/>
          <w:szCs w:val="13"/>
        </w:rPr>
        <w:t>=</w:t>
      </w:r>
      <w:r w:rsidRPr="008A656D">
        <w:rPr>
          <w:rFonts w:eastAsia="楷体" w:hint="eastAsia"/>
          <w:bCs/>
          <w:spacing w:val="-8"/>
          <w:sz w:val="13"/>
          <w:szCs w:val="13"/>
        </w:rPr>
        <w:t>一般公共预算财力</w:t>
      </w:r>
      <w:r w:rsidRPr="008A656D">
        <w:rPr>
          <w:rFonts w:eastAsia="楷体" w:hint="eastAsia"/>
          <w:bCs/>
          <w:spacing w:val="-8"/>
          <w:sz w:val="13"/>
          <w:szCs w:val="13"/>
        </w:rPr>
        <w:t>+</w:t>
      </w:r>
      <w:r w:rsidRPr="008A656D">
        <w:rPr>
          <w:rFonts w:eastAsia="楷体" w:hint="eastAsia"/>
          <w:bCs/>
          <w:spacing w:val="-8"/>
          <w:sz w:val="13"/>
          <w:szCs w:val="13"/>
        </w:rPr>
        <w:t>政府性基金财力</w:t>
      </w:r>
      <w:r>
        <w:rPr>
          <w:rFonts w:eastAsia="楷体" w:hint="eastAsia"/>
          <w:bCs/>
          <w:spacing w:val="-8"/>
          <w:sz w:val="13"/>
          <w:szCs w:val="13"/>
        </w:rPr>
        <w:t>（</w:t>
      </w:r>
      <w:r w:rsidRPr="008A656D">
        <w:rPr>
          <w:rFonts w:eastAsia="楷体" w:hint="eastAsia"/>
          <w:bCs/>
          <w:spacing w:val="-8"/>
          <w:sz w:val="13"/>
          <w:szCs w:val="13"/>
        </w:rPr>
        <w:t>指标计算公式详见报告正文表</w:t>
      </w:r>
      <w:r w:rsidRPr="008A656D">
        <w:rPr>
          <w:rFonts w:eastAsia="楷体" w:hint="eastAsia"/>
          <w:bCs/>
          <w:spacing w:val="-8"/>
          <w:sz w:val="13"/>
          <w:szCs w:val="13"/>
        </w:rPr>
        <w:t>3</w:t>
      </w:r>
      <w:r>
        <w:rPr>
          <w:rFonts w:eastAsia="楷体" w:hint="eastAsia"/>
          <w:bCs/>
          <w:spacing w:val="-8"/>
          <w:sz w:val="13"/>
          <w:szCs w:val="13"/>
        </w:rPr>
        <w:t>附注）。</w:t>
      </w:r>
    </w:p>
    <w:p w:rsidR="00B12D88" w:rsidRPr="00094226" w:rsidRDefault="00B12D88" w:rsidP="00B12D88">
      <w:pPr>
        <w:spacing w:line="200" w:lineRule="exact"/>
        <w:ind w:rightChars="-326" w:right="-685"/>
        <w:jc w:val="left"/>
        <w:rPr>
          <w:rFonts w:eastAsia="楷体"/>
          <w:bCs/>
          <w:spacing w:val="-8"/>
          <w:sz w:val="13"/>
          <w:szCs w:val="13"/>
        </w:rPr>
      </w:pPr>
      <w:r w:rsidRPr="00094226">
        <w:rPr>
          <w:rFonts w:eastAsia="楷体"/>
          <w:bCs/>
          <w:spacing w:val="-8"/>
          <w:sz w:val="13"/>
          <w:szCs w:val="13"/>
        </w:rPr>
        <w:t>资料来源</w:t>
      </w:r>
      <w:r w:rsidRPr="00036918">
        <w:rPr>
          <w:rFonts w:eastAsia="楷体"/>
          <w:bCs/>
          <w:spacing w:val="-8"/>
          <w:sz w:val="13"/>
          <w:szCs w:val="13"/>
        </w:rPr>
        <w:t>：统计</w:t>
      </w:r>
      <w:r w:rsidRPr="00131C3E">
        <w:rPr>
          <w:rFonts w:eastAsia="楷体"/>
          <w:bCs/>
          <w:spacing w:val="-8"/>
          <w:sz w:val="13"/>
          <w:szCs w:val="13"/>
        </w:rPr>
        <w:t>年鉴、财政预算执行报告、决算报告，江苏省财政厅提供</w:t>
      </w:r>
    </w:p>
    <w:p w:rsidR="0071309D" w:rsidRDefault="0071309D" w:rsidP="00F64E5E">
      <w:pPr>
        <w:spacing w:line="200" w:lineRule="exact"/>
        <w:ind w:rightChars="-59" w:right="-124"/>
        <w:jc w:val="left"/>
        <w:rPr>
          <w:b/>
          <w:i/>
          <w:sz w:val="16"/>
          <w:szCs w:val="16"/>
        </w:rPr>
      </w:pPr>
    </w:p>
    <w:p w:rsidR="00B12D88" w:rsidRDefault="00B12D88" w:rsidP="002628A2">
      <w:pPr>
        <w:spacing w:line="200" w:lineRule="exact"/>
        <w:ind w:rightChars="-59" w:right="-124"/>
        <w:jc w:val="left"/>
        <w:rPr>
          <w:b/>
          <w:i/>
          <w:sz w:val="16"/>
          <w:szCs w:val="16"/>
        </w:rPr>
      </w:pPr>
      <w:r w:rsidRPr="00A603C6">
        <w:rPr>
          <w:rFonts w:hint="eastAsia"/>
          <w:b/>
          <w:i/>
          <w:sz w:val="16"/>
          <w:szCs w:val="16"/>
        </w:rPr>
        <w:t>分析师</w:t>
      </w:r>
    </w:p>
    <w:p w:rsidR="00A603C6" w:rsidRPr="0071309D" w:rsidRDefault="00A603C6" w:rsidP="00A603C6">
      <w:pPr>
        <w:spacing w:line="200" w:lineRule="exact"/>
        <w:rPr>
          <w:i/>
          <w:sz w:val="16"/>
          <w:szCs w:val="16"/>
        </w:rPr>
      </w:pPr>
      <w:r w:rsidRPr="00A603C6">
        <w:rPr>
          <w:rFonts w:hint="eastAsia"/>
          <w:i/>
          <w:sz w:val="16"/>
          <w:szCs w:val="16"/>
        </w:rPr>
        <w:t>闫丽琼</w:t>
      </w:r>
      <w:r w:rsidRPr="0071309D">
        <w:rPr>
          <w:i/>
          <w:sz w:val="16"/>
          <w:szCs w:val="16"/>
        </w:rPr>
        <w:t xml:space="preserve">  </w:t>
      </w:r>
    </w:p>
    <w:p w:rsidR="00A603C6" w:rsidRPr="0071309D" w:rsidRDefault="00A603C6" w:rsidP="00A603C6">
      <w:pPr>
        <w:spacing w:line="200" w:lineRule="exact"/>
        <w:rPr>
          <w:i/>
          <w:sz w:val="16"/>
          <w:szCs w:val="16"/>
        </w:rPr>
      </w:pPr>
      <w:r w:rsidRPr="0071309D">
        <w:rPr>
          <w:i/>
          <w:sz w:val="16"/>
          <w:szCs w:val="16"/>
        </w:rPr>
        <w:t>电话：</w:t>
      </w:r>
      <w:r w:rsidRPr="0071309D">
        <w:rPr>
          <w:i/>
          <w:sz w:val="16"/>
          <w:szCs w:val="16"/>
        </w:rPr>
        <w:t>010-88090</w:t>
      </w:r>
      <w:r w:rsidRPr="0071309D">
        <w:rPr>
          <w:rFonts w:hint="eastAsia"/>
          <w:i/>
          <w:sz w:val="16"/>
          <w:szCs w:val="16"/>
        </w:rPr>
        <w:t>0</w:t>
      </w:r>
      <w:r>
        <w:rPr>
          <w:rFonts w:hint="eastAsia"/>
          <w:i/>
          <w:sz w:val="16"/>
          <w:szCs w:val="16"/>
        </w:rPr>
        <w:t>17</w:t>
      </w:r>
    </w:p>
    <w:p w:rsidR="00A603C6" w:rsidRPr="00A603C6" w:rsidRDefault="00A603C6" w:rsidP="00A603C6">
      <w:pPr>
        <w:spacing w:line="200" w:lineRule="exact"/>
        <w:rPr>
          <w:i/>
          <w:sz w:val="16"/>
          <w:szCs w:val="16"/>
        </w:rPr>
      </w:pPr>
      <w:r w:rsidRPr="0071309D">
        <w:rPr>
          <w:i/>
          <w:sz w:val="16"/>
          <w:szCs w:val="16"/>
        </w:rPr>
        <w:t>邮箱：</w:t>
      </w:r>
      <w:r w:rsidR="00CA4124">
        <w:fldChar w:fldCharType="begin"/>
      </w:r>
      <w:r w:rsidR="00CA4124">
        <w:instrText xml:space="preserve"> HYPERLINK "mailto:yanliqiong@chinaratings.com.cn" </w:instrText>
      </w:r>
      <w:r w:rsidR="00CA4124">
        <w:fldChar w:fldCharType="separate"/>
      </w:r>
      <w:r w:rsidRPr="001A3359">
        <w:rPr>
          <w:rStyle w:val="afd"/>
          <w:rFonts w:hint="eastAsia"/>
          <w:i/>
          <w:sz w:val="16"/>
          <w:szCs w:val="16"/>
        </w:rPr>
        <w:t>yanliqiong</w:t>
      </w:r>
      <w:r w:rsidRPr="001A3359">
        <w:rPr>
          <w:rStyle w:val="afd"/>
          <w:i/>
          <w:sz w:val="16"/>
          <w:szCs w:val="16"/>
        </w:rPr>
        <w:t>@chinaratings.com.cn</w:t>
      </w:r>
      <w:r w:rsidR="00CA4124">
        <w:rPr>
          <w:rStyle w:val="afd"/>
          <w:i/>
          <w:sz w:val="16"/>
          <w:szCs w:val="16"/>
        </w:rPr>
        <w:fldChar w:fldCharType="end"/>
      </w:r>
    </w:p>
    <w:p w:rsidR="00B12D88" w:rsidRPr="0071309D" w:rsidRDefault="0071309D" w:rsidP="00F64E5E">
      <w:pPr>
        <w:spacing w:line="200" w:lineRule="exact"/>
        <w:rPr>
          <w:i/>
          <w:sz w:val="16"/>
          <w:szCs w:val="16"/>
        </w:rPr>
      </w:pPr>
      <w:r w:rsidRPr="0071309D">
        <w:rPr>
          <w:rFonts w:hint="eastAsia"/>
          <w:i/>
          <w:sz w:val="16"/>
          <w:szCs w:val="16"/>
        </w:rPr>
        <w:t>吴冬雯</w:t>
      </w:r>
      <w:r w:rsidR="00B12D88" w:rsidRPr="0071309D">
        <w:rPr>
          <w:i/>
          <w:sz w:val="16"/>
          <w:szCs w:val="16"/>
        </w:rPr>
        <w:t xml:space="preserve">  </w:t>
      </w:r>
    </w:p>
    <w:p w:rsidR="00B12D88" w:rsidRPr="0071309D" w:rsidRDefault="00B12D88" w:rsidP="00F64E5E">
      <w:pPr>
        <w:spacing w:line="200" w:lineRule="exact"/>
        <w:rPr>
          <w:i/>
          <w:sz w:val="16"/>
          <w:szCs w:val="16"/>
        </w:rPr>
      </w:pPr>
      <w:r w:rsidRPr="0071309D">
        <w:rPr>
          <w:i/>
          <w:sz w:val="16"/>
          <w:szCs w:val="16"/>
        </w:rPr>
        <w:t>电话：</w:t>
      </w:r>
      <w:r w:rsidRPr="0071309D">
        <w:rPr>
          <w:i/>
          <w:sz w:val="16"/>
          <w:szCs w:val="16"/>
        </w:rPr>
        <w:t>010-88090</w:t>
      </w:r>
      <w:r w:rsidR="0071309D" w:rsidRPr="0071309D">
        <w:rPr>
          <w:rFonts w:hint="eastAsia"/>
          <w:i/>
          <w:sz w:val="16"/>
          <w:szCs w:val="16"/>
        </w:rPr>
        <w:t>037</w:t>
      </w:r>
    </w:p>
    <w:p w:rsidR="00B12D88" w:rsidRPr="0071309D" w:rsidRDefault="00B12D88" w:rsidP="00F64E5E">
      <w:pPr>
        <w:spacing w:line="200" w:lineRule="exact"/>
        <w:rPr>
          <w:i/>
          <w:sz w:val="16"/>
          <w:szCs w:val="16"/>
        </w:rPr>
      </w:pPr>
      <w:r w:rsidRPr="0071309D">
        <w:rPr>
          <w:i/>
          <w:sz w:val="16"/>
          <w:szCs w:val="16"/>
        </w:rPr>
        <w:t>邮箱：</w:t>
      </w:r>
      <w:r w:rsidR="00A603C6">
        <w:rPr>
          <w:i/>
          <w:sz w:val="16"/>
          <w:szCs w:val="16"/>
        </w:rPr>
        <w:fldChar w:fldCharType="begin"/>
      </w:r>
      <w:r w:rsidR="00A603C6">
        <w:rPr>
          <w:i/>
          <w:sz w:val="16"/>
          <w:szCs w:val="16"/>
        </w:rPr>
        <w:instrText xml:space="preserve"> HYPERLINK "mailto:</w:instrText>
      </w:r>
      <w:r w:rsidR="00A603C6" w:rsidRPr="00A603C6">
        <w:rPr>
          <w:rFonts w:hint="eastAsia"/>
          <w:i/>
          <w:sz w:val="16"/>
          <w:szCs w:val="16"/>
        </w:rPr>
        <w:instrText>wudongwen</w:instrText>
      </w:r>
      <w:r w:rsidR="00A603C6" w:rsidRPr="00A603C6">
        <w:rPr>
          <w:i/>
          <w:sz w:val="16"/>
          <w:szCs w:val="16"/>
        </w:rPr>
        <w:instrText>@chinaratings.com.cn</w:instrText>
      </w:r>
      <w:r w:rsidR="00A603C6">
        <w:rPr>
          <w:i/>
          <w:sz w:val="16"/>
          <w:szCs w:val="16"/>
        </w:rPr>
        <w:instrText xml:space="preserve">" </w:instrText>
      </w:r>
      <w:r w:rsidR="00A603C6">
        <w:rPr>
          <w:i/>
          <w:sz w:val="16"/>
          <w:szCs w:val="16"/>
        </w:rPr>
        <w:fldChar w:fldCharType="separate"/>
      </w:r>
      <w:r w:rsidR="00A603C6" w:rsidRPr="001A3359">
        <w:rPr>
          <w:rStyle w:val="afd"/>
          <w:rFonts w:hint="eastAsia"/>
          <w:i/>
          <w:sz w:val="16"/>
          <w:szCs w:val="16"/>
        </w:rPr>
        <w:t>wudongwen</w:t>
      </w:r>
      <w:r w:rsidR="00A603C6" w:rsidRPr="001A3359">
        <w:rPr>
          <w:rStyle w:val="afd"/>
          <w:i/>
          <w:sz w:val="16"/>
          <w:szCs w:val="16"/>
        </w:rPr>
        <w:t>@chinaratings.com.cn</w:t>
      </w:r>
      <w:r w:rsidR="00A603C6">
        <w:rPr>
          <w:i/>
          <w:sz w:val="16"/>
          <w:szCs w:val="16"/>
        </w:rPr>
        <w:fldChar w:fldCharType="end"/>
      </w:r>
    </w:p>
    <w:p w:rsidR="00B12D88" w:rsidRPr="0071309D" w:rsidRDefault="00B12D88" w:rsidP="00F64E5E">
      <w:pPr>
        <w:spacing w:line="200" w:lineRule="exact"/>
        <w:rPr>
          <w:i/>
          <w:sz w:val="16"/>
          <w:szCs w:val="16"/>
        </w:rPr>
      </w:pPr>
      <w:r w:rsidRPr="0071309D">
        <w:rPr>
          <w:i/>
          <w:sz w:val="16"/>
          <w:szCs w:val="16"/>
        </w:rPr>
        <w:t>朱志斌</w:t>
      </w:r>
      <w:r w:rsidRPr="0071309D">
        <w:rPr>
          <w:i/>
          <w:sz w:val="16"/>
          <w:szCs w:val="16"/>
        </w:rPr>
        <w:t xml:space="preserve"> </w:t>
      </w:r>
    </w:p>
    <w:p w:rsidR="00B12D88" w:rsidRPr="0071309D" w:rsidRDefault="00B12D88" w:rsidP="00F64E5E">
      <w:pPr>
        <w:spacing w:line="200" w:lineRule="exact"/>
        <w:rPr>
          <w:i/>
          <w:sz w:val="16"/>
          <w:szCs w:val="16"/>
        </w:rPr>
      </w:pPr>
      <w:r w:rsidRPr="0071309D">
        <w:rPr>
          <w:i/>
          <w:sz w:val="16"/>
          <w:szCs w:val="16"/>
        </w:rPr>
        <w:t>电话：</w:t>
      </w:r>
      <w:r w:rsidRPr="0071309D">
        <w:rPr>
          <w:i/>
          <w:sz w:val="16"/>
          <w:szCs w:val="16"/>
        </w:rPr>
        <w:t>010-88090249</w:t>
      </w:r>
    </w:p>
    <w:p w:rsidR="00B12D88" w:rsidRPr="0071309D" w:rsidRDefault="00B12D88" w:rsidP="00F64E5E">
      <w:pPr>
        <w:spacing w:line="200" w:lineRule="exact"/>
        <w:rPr>
          <w:rStyle w:val="afd"/>
          <w:i/>
          <w:sz w:val="16"/>
          <w:szCs w:val="16"/>
        </w:rPr>
      </w:pPr>
      <w:r w:rsidRPr="0071309D">
        <w:rPr>
          <w:i/>
          <w:sz w:val="16"/>
          <w:szCs w:val="16"/>
        </w:rPr>
        <w:t>邮箱：</w:t>
      </w:r>
      <w:r w:rsidR="006D0AE9">
        <w:fldChar w:fldCharType="begin"/>
      </w:r>
      <w:r w:rsidR="006D0AE9">
        <w:instrText xml:space="preserve"> HYPERLINK "mailto:zhuzhibin@chinaratings.com.cn" </w:instrText>
      </w:r>
      <w:r w:rsidR="006D0AE9">
        <w:fldChar w:fldCharType="separate"/>
      </w:r>
      <w:r w:rsidRPr="0071309D">
        <w:rPr>
          <w:rStyle w:val="afd"/>
          <w:i/>
          <w:sz w:val="16"/>
          <w:szCs w:val="16"/>
        </w:rPr>
        <w:t>zhuzhibin@chinaratings.com.cn</w:t>
      </w:r>
      <w:r w:rsidR="006D0AE9">
        <w:rPr>
          <w:rStyle w:val="afd"/>
          <w:i/>
          <w:sz w:val="16"/>
          <w:szCs w:val="16"/>
        </w:rPr>
        <w:fldChar w:fldCharType="end"/>
      </w:r>
    </w:p>
    <w:p w:rsidR="0071309D" w:rsidRPr="0071309D" w:rsidRDefault="0071309D" w:rsidP="00F64E5E">
      <w:pPr>
        <w:spacing w:line="200" w:lineRule="exact"/>
        <w:rPr>
          <w:i/>
          <w:sz w:val="16"/>
          <w:szCs w:val="16"/>
        </w:rPr>
      </w:pPr>
      <w:r w:rsidRPr="0071309D">
        <w:rPr>
          <w:rFonts w:hint="eastAsia"/>
          <w:i/>
          <w:sz w:val="16"/>
          <w:szCs w:val="16"/>
        </w:rPr>
        <w:t>孟婧婧</w:t>
      </w:r>
    </w:p>
    <w:p w:rsidR="0071309D" w:rsidRPr="0071309D" w:rsidRDefault="0071309D" w:rsidP="0071309D">
      <w:pPr>
        <w:spacing w:line="200" w:lineRule="exact"/>
        <w:rPr>
          <w:i/>
          <w:sz w:val="16"/>
          <w:szCs w:val="16"/>
        </w:rPr>
      </w:pPr>
      <w:r w:rsidRPr="0071309D">
        <w:rPr>
          <w:i/>
          <w:sz w:val="16"/>
          <w:szCs w:val="16"/>
        </w:rPr>
        <w:t>电话：</w:t>
      </w:r>
      <w:r w:rsidRPr="0071309D">
        <w:rPr>
          <w:i/>
          <w:sz w:val="16"/>
          <w:szCs w:val="16"/>
        </w:rPr>
        <w:t>010-880902</w:t>
      </w:r>
      <w:r w:rsidRPr="0071309D">
        <w:rPr>
          <w:rFonts w:hint="eastAsia"/>
          <w:i/>
          <w:sz w:val="16"/>
          <w:szCs w:val="16"/>
        </w:rPr>
        <w:t>45</w:t>
      </w:r>
    </w:p>
    <w:p w:rsidR="00F64E5E" w:rsidRPr="0071309D" w:rsidRDefault="0071309D" w:rsidP="00F64E5E">
      <w:pPr>
        <w:spacing w:line="200" w:lineRule="exact"/>
        <w:rPr>
          <w:i/>
          <w:color w:val="0000FF"/>
          <w:sz w:val="16"/>
          <w:szCs w:val="16"/>
          <w:u w:val="single"/>
        </w:rPr>
      </w:pPr>
      <w:r w:rsidRPr="0071309D">
        <w:rPr>
          <w:i/>
          <w:sz w:val="16"/>
          <w:szCs w:val="16"/>
        </w:rPr>
        <w:t>邮箱：</w:t>
      </w:r>
      <w:r w:rsidR="006D0AE9">
        <w:fldChar w:fldCharType="begin"/>
      </w:r>
      <w:r w:rsidR="006D0AE9">
        <w:instrText xml:space="preserve"> HYPERLINK "mailto:mengjingjing@chinaratings.com.cn" </w:instrText>
      </w:r>
      <w:r w:rsidR="006D0AE9">
        <w:fldChar w:fldCharType="separate"/>
      </w:r>
      <w:r w:rsidRPr="0071309D">
        <w:rPr>
          <w:rStyle w:val="afd"/>
          <w:rFonts w:hint="eastAsia"/>
          <w:i/>
          <w:sz w:val="16"/>
          <w:szCs w:val="16"/>
        </w:rPr>
        <w:t>mengjingjing</w:t>
      </w:r>
      <w:r w:rsidRPr="0071309D">
        <w:rPr>
          <w:rStyle w:val="afd"/>
          <w:i/>
          <w:sz w:val="16"/>
          <w:szCs w:val="16"/>
        </w:rPr>
        <w:t>@chinaratings.com.cn</w:t>
      </w:r>
      <w:r w:rsidR="006D0AE9">
        <w:rPr>
          <w:rStyle w:val="afd"/>
          <w:i/>
          <w:sz w:val="16"/>
          <w:szCs w:val="16"/>
        </w:rPr>
        <w:fldChar w:fldCharType="end"/>
      </w:r>
    </w:p>
    <w:p w:rsidR="0071309D" w:rsidRDefault="0071309D" w:rsidP="00F64E5E">
      <w:pPr>
        <w:spacing w:line="200" w:lineRule="exact"/>
        <w:rPr>
          <w:b/>
          <w:i/>
          <w:sz w:val="16"/>
          <w:szCs w:val="16"/>
        </w:rPr>
      </w:pPr>
    </w:p>
    <w:p w:rsidR="00B12D88" w:rsidRPr="00094226" w:rsidRDefault="00B12D88" w:rsidP="00F64E5E">
      <w:pPr>
        <w:spacing w:line="200" w:lineRule="exact"/>
        <w:rPr>
          <w:b/>
          <w:i/>
          <w:sz w:val="16"/>
          <w:szCs w:val="16"/>
        </w:rPr>
      </w:pPr>
      <w:r w:rsidRPr="00094226">
        <w:rPr>
          <w:b/>
          <w:i/>
          <w:sz w:val="16"/>
          <w:szCs w:val="16"/>
        </w:rPr>
        <w:t>市场部</w:t>
      </w:r>
    </w:p>
    <w:p w:rsidR="00B12D88" w:rsidRPr="00094226" w:rsidRDefault="00B12D88" w:rsidP="00F64E5E">
      <w:pPr>
        <w:spacing w:line="200" w:lineRule="exact"/>
        <w:rPr>
          <w:i/>
          <w:sz w:val="16"/>
          <w:szCs w:val="16"/>
        </w:rPr>
      </w:pPr>
      <w:r w:rsidRPr="00094226">
        <w:rPr>
          <w:i/>
          <w:sz w:val="16"/>
          <w:szCs w:val="16"/>
        </w:rPr>
        <w:t>电话：</w:t>
      </w:r>
      <w:r w:rsidRPr="00094226">
        <w:rPr>
          <w:i/>
          <w:sz w:val="16"/>
          <w:szCs w:val="16"/>
        </w:rPr>
        <w:t>010-88090123</w:t>
      </w:r>
    </w:p>
    <w:p w:rsidR="00B12D88" w:rsidRPr="00094226" w:rsidRDefault="00B12D88" w:rsidP="00F64E5E">
      <w:pPr>
        <w:spacing w:line="200" w:lineRule="exact"/>
        <w:rPr>
          <w:i/>
          <w:sz w:val="16"/>
          <w:szCs w:val="16"/>
        </w:rPr>
      </w:pPr>
      <w:r w:rsidRPr="00094226">
        <w:rPr>
          <w:i/>
          <w:sz w:val="16"/>
          <w:szCs w:val="16"/>
        </w:rPr>
        <w:t>传真：</w:t>
      </w:r>
      <w:r w:rsidRPr="00094226">
        <w:rPr>
          <w:i/>
          <w:sz w:val="16"/>
          <w:szCs w:val="16"/>
        </w:rPr>
        <w:t>010-88090102</w:t>
      </w:r>
    </w:p>
    <w:p w:rsidR="00F64E5E" w:rsidRDefault="00B12D88" w:rsidP="00F64E5E">
      <w:pPr>
        <w:spacing w:line="200" w:lineRule="exact"/>
        <w:rPr>
          <w:i/>
          <w:sz w:val="16"/>
          <w:szCs w:val="16"/>
        </w:rPr>
      </w:pPr>
      <w:r w:rsidRPr="00094226">
        <w:rPr>
          <w:i/>
          <w:sz w:val="16"/>
          <w:szCs w:val="16"/>
        </w:rPr>
        <w:t>邮箱：</w:t>
      </w:r>
      <w:r w:rsidR="006D0AE9">
        <w:fldChar w:fldCharType="begin"/>
      </w:r>
      <w:r w:rsidR="006D0AE9">
        <w:instrText xml:space="preserve"> HYPERLINK "mailto:cs@chinaratings.com.cn" </w:instrText>
      </w:r>
      <w:r w:rsidR="006D0AE9">
        <w:fldChar w:fldCharType="separate"/>
      </w:r>
      <w:r w:rsidRPr="00094226">
        <w:rPr>
          <w:rStyle w:val="afd"/>
          <w:i/>
          <w:sz w:val="16"/>
          <w:szCs w:val="16"/>
        </w:rPr>
        <w:t>cs@chinaratings.com.cn</w:t>
      </w:r>
      <w:r w:rsidR="006D0AE9">
        <w:rPr>
          <w:rStyle w:val="afd"/>
          <w:i/>
          <w:sz w:val="16"/>
          <w:szCs w:val="16"/>
        </w:rPr>
        <w:fldChar w:fldCharType="end"/>
      </w:r>
      <w:r w:rsidRPr="00094226">
        <w:rPr>
          <w:i/>
          <w:sz w:val="16"/>
          <w:szCs w:val="16"/>
        </w:rPr>
        <w:t xml:space="preserve"> </w:t>
      </w:r>
    </w:p>
    <w:p w:rsidR="0071309D" w:rsidRDefault="0071309D" w:rsidP="00F64E5E">
      <w:pPr>
        <w:spacing w:line="200" w:lineRule="exact"/>
        <w:rPr>
          <w:b/>
          <w:i/>
          <w:sz w:val="16"/>
          <w:szCs w:val="16"/>
        </w:rPr>
      </w:pPr>
    </w:p>
    <w:p w:rsidR="00F64E5E" w:rsidRPr="00F64E5E" w:rsidRDefault="00F64E5E" w:rsidP="00F64E5E">
      <w:pPr>
        <w:spacing w:line="200" w:lineRule="exact"/>
        <w:rPr>
          <w:b/>
          <w:i/>
          <w:sz w:val="16"/>
          <w:szCs w:val="16"/>
        </w:rPr>
      </w:pPr>
      <w:r w:rsidRPr="00F64E5E">
        <w:rPr>
          <w:rFonts w:hint="eastAsia"/>
          <w:b/>
          <w:i/>
          <w:sz w:val="16"/>
          <w:szCs w:val="16"/>
        </w:rPr>
        <w:t>中债资信评估有限责任公司</w:t>
      </w:r>
    </w:p>
    <w:p w:rsidR="00B12D88" w:rsidRPr="00094226" w:rsidRDefault="00B12D88" w:rsidP="00F64E5E">
      <w:pPr>
        <w:spacing w:line="200" w:lineRule="exact"/>
        <w:rPr>
          <w:i/>
          <w:sz w:val="16"/>
          <w:szCs w:val="16"/>
        </w:rPr>
      </w:pPr>
      <w:r w:rsidRPr="00094226">
        <w:rPr>
          <w:i/>
          <w:sz w:val="16"/>
          <w:szCs w:val="16"/>
        </w:rPr>
        <w:t>地址：北京西城区金融大街</w:t>
      </w:r>
      <w:r w:rsidRPr="00094226">
        <w:rPr>
          <w:i/>
          <w:sz w:val="16"/>
          <w:szCs w:val="16"/>
        </w:rPr>
        <w:t>28</w:t>
      </w:r>
      <w:r w:rsidRPr="00094226">
        <w:rPr>
          <w:i/>
          <w:sz w:val="16"/>
          <w:szCs w:val="16"/>
        </w:rPr>
        <w:t>号院</w:t>
      </w:r>
    </w:p>
    <w:p w:rsidR="00B12D88" w:rsidRDefault="00B12D88" w:rsidP="00F64E5E">
      <w:pPr>
        <w:spacing w:line="200" w:lineRule="exact"/>
        <w:ind w:firstLineChars="250" w:firstLine="400"/>
        <w:rPr>
          <w:i/>
          <w:sz w:val="16"/>
          <w:szCs w:val="16"/>
        </w:rPr>
      </w:pPr>
      <w:proofErr w:type="gramStart"/>
      <w:r w:rsidRPr="00094226">
        <w:rPr>
          <w:i/>
          <w:sz w:val="16"/>
          <w:szCs w:val="16"/>
        </w:rPr>
        <w:t>盈泰中心</w:t>
      </w:r>
      <w:proofErr w:type="gramEnd"/>
      <w:r w:rsidRPr="00094226">
        <w:rPr>
          <w:i/>
          <w:sz w:val="16"/>
          <w:szCs w:val="16"/>
        </w:rPr>
        <w:t>2</w:t>
      </w:r>
      <w:r w:rsidRPr="00094226">
        <w:rPr>
          <w:i/>
          <w:sz w:val="16"/>
          <w:szCs w:val="16"/>
        </w:rPr>
        <w:t>号楼</w:t>
      </w:r>
      <w:r w:rsidRPr="00094226">
        <w:rPr>
          <w:i/>
          <w:sz w:val="16"/>
          <w:szCs w:val="16"/>
        </w:rPr>
        <w:t>6</w:t>
      </w:r>
      <w:r w:rsidRPr="00094226">
        <w:rPr>
          <w:i/>
          <w:sz w:val="16"/>
          <w:szCs w:val="16"/>
        </w:rPr>
        <w:t>层（</w:t>
      </w:r>
      <w:r w:rsidRPr="00094226">
        <w:rPr>
          <w:i/>
          <w:sz w:val="16"/>
          <w:szCs w:val="16"/>
        </w:rPr>
        <w:t>100032</w:t>
      </w:r>
      <w:r w:rsidRPr="00094226">
        <w:rPr>
          <w:i/>
          <w:sz w:val="16"/>
          <w:szCs w:val="16"/>
        </w:rPr>
        <w:t>）</w:t>
      </w:r>
    </w:p>
    <w:p w:rsidR="00F64E5E" w:rsidRDefault="00F64E5E" w:rsidP="00F64E5E">
      <w:pPr>
        <w:spacing w:line="200" w:lineRule="exact"/>
        <w:rPr>
          <w:i/>
          <w:sz w:val="16"/>
          <w:szCs w:val="16"/>
        </w:rPr>
      </w:pPr>
      <w:r>
        <w:rPr>
          <w:rFonts w:hint="eastAsia"/>
          <w:i/>
          <w:sz w:val="16"/>
          <w:szCs w:val="16"/>
        </w:rPr>
        <w:t>网址：</w:t>
      </w:r>
      <w:r w:rsidRPr="00F64E5E">
        <w:rPr>
          <w:rStyle w:val="afd"/>
          <w:rFonts w:hint="eastAsia"/>
          <w:i/>
          <w:sz w:val="16"/>
          <w:szCs w:val="16"/>
        </w:rPr>
        <w:t>www.chinaratings.com.cn</w:t>
      </w:r>
    </w:p>
    <w:p w:rsidR="00F64E5E" w:rsidRDefault="00F64E5E" w:rsidP="00F64E5E">
      <w:pPr>
        <w:spacing w:line="200" w:lineRule="exact"/>
        <w:ind w:firstLineChars="250" w:firstLine="400"/>
        <w:rPr>
          <w:i/>
          <w:sz w:val="16"/>
          <w:szCs w:val="16"/>
        </w:rPr>
      </w:pPr>
    </w:p>
    <w:p w:rsidR="00F3286F" w:rsidRDefault="00F3286F" w:rsidP="00F3286F">
      <w:pPr>
        <w:tabs>
          <w:tab w:val="left" w:pos="-426"/>
        </w:tabs>
        <w:spacing w:beforeLines="100" w:before="312" w:line="360" w:lineRule="auto"/>
        <w:ind w:leftChars="-202" w:left="-424"/>
        <w:rPr>
          <w:rFonts w:eastAsia="黑体"/>
          <w:b/>
          <w:bCs/>
          <w:kern w:val="36"/>
          <w:sz w:val="24"/>
        </w:rPr>
      </w:pPr>
    </w:p>
    <w:p w:rsidR="00B12D88" w:rsidRPr="00094226" w:rsidRDefault="00B12D88" w:rsidP="00F3286F">
      <w:pPr>
        <w:tabs>
          <w:tab w:val="left" w:pos="-426"/>
        </w:tabs>
        <w:spacing w:beforeLines="50" w:before="156" w:line="360" w:lineRule="auto"/>
        <w:ind w:leftChars="-202" w:left="-424"/>
        <w:rPr>
          <w:rFonts w:eastAsia="黑体"/>
          <w:b/>
          <w:bCs/>
          <w:kern w:val="36"/>
          <w:sz w:val="24"/>
        </w:rPr>
      </w:pPr>
      <w:r w:rsidRPr="00094226">
        <w:rPr>
          <w:rFonts w:eastAsia="黑体"/>
          <w:b/>
          <w:bCs/>
          <w:kern w:val="36"/>
          <w:sz w:val="24"/>
        </w:rPr>
        <w:t>评级结论</w:t>
      </w:r>
    </w:p>
    <w:p w:rsidR="00B12D88" w:rsidRPr="005A5698" w:rsidRDefault="00B12D88" w:rsidP="00A87396">
      <w:pPr>
        <w:tabs>
          <w:tab w:val="left" w:pos="0"/>
        </w:tabs>
        <w:spacing w:afterLines="50" w:after="156" w:line="288" w:lineRule="auto"/>
        <w:ind w:leftChars="-202" w:left="-424" w:rightChars="-14" w:right="-29" w:firstLineChars="200" w:firstLine="420"/>
        <w:rPr>
          <w:sz w:val="20"/>
          <w:szCs w:val="21"/>
        </w:rPr>
      </w:pPr>
      <w:r w:rsidRPr="00ED419A">
        <w:rPr>
          <w:color w:val="000000"/>
          <w:szCs w:val="21"/>
        </w:rPr>
        <w:t>中债资信评估有限责任公司（以下简称</w:t>
      </w:r>
      <w:r>
        <w:rPr>
          <w:rFonts w:hint="eastAsia"/>
          <w:color w:val="000000"/>
          <w:szCs w:val="21"/>
        </w:rPr>
        <w:t>“</w:t>
      </w:r>
      <w:r w:rsidRPr="00ED419A">
        <w:rPr>
          <w:color w:val="000000"/>
          <w:szCs w:val="21"/>
        </w:rPr>
        <w:t>中债资信</w:t>
      </w:r>
      <w:r>
        <w:rPr>
          <w:rFonts w:hint="eastAsia"/>
          <w:color w:val="000000"/>
          <w:szCs w:val="21"/>
        </w:rPr>
        <w:t>”</w:t>
      </w:r>
      <w:r w:rsidRPr="00ED419A">
        <w:rPr>
          <w:color w:val="000000"/>
          <w:szCs w:val="21"/>
        </w:rPr>
        <w:t>）认为江苏省经济和财政实力很强，政府治理水平较</w:t>
      </w:r>
      <w:r w:rsidRPr="003D1341">
        <w:rPr>
          <w:color w:val="000000"/>
          <w:szCs w:val="21"/>
        </w:rPr>
        <w:t>高</w:t>
      </w:r>
      <w:r w:rsidRPr="00486F91">
        <w:rPr>
          <w:rFonts w:hint="eastAsia"/>
          <w:color w:val="000000"/>
          <w:szCs w:val="21"/>
        </w:rPr>
        <w:t>，</w:t>
      </w:r>
      <w:r w:rsidR="003D1341" w:rsidRPr="00486F91">
        <w:rPr>
          <w:color w:val="000000"/>
          <w:szCs w:val="21"/>
        </w:rPr>
        <w:t>201</w:t>
      </w:r>
      <w:r w:rsidR="003D1341" w:rsidRPr="00486F91">
        <w:rPr>
          <w:rFonts w:hint="eastAsia"/>
          <w:color w:val="000000"/>
          <w:szCs w:val="21"/>
        </w:rPr>
        <w:t>6</w:t>
      </w:r>
      <w:r w:rsidRPr="00486F91">
        <w:rPr>
          <w:rFonts w:hint="eastAsia"/>
          <w:color w:val="000000"/>
          <w:szCs w:val="21"/>
        </w:rPr>
        <w:t>年</w:t>
      </w:r>
      <w:r w:rsidR="0085792E" w:rsidRPr="00486F91">
        <w:rPr>
          <w:rFonts w:hint="eastAsia"/>
          <w:color w:val="000000"/>
          <w:szCs w:val="21"/>
        </w:rPr>
        <w:t>第</w:t>
      </w:r>
      <w:r w:rsidR="003D1341" w:rsidRPr="00486F91">
        <w:rPr>
          <w:rFonts w:hint="eastAsia"/>
          <w:color w:val="000000"/>
          <w:szCs w:val="21"/>
        </w:rPr>
        <w:t>一</w:t>
      </w:r>
      <w:r w:rsidR="0085792E" w:rsidRPr="00486F91">
        <w:rPr>
          <w:rFonts w:hint="eastAsia"/>
          <w:color w:val="000000"/>
          <w:szCs w:val="21"/>
        </w:rPr>
        <w:t>批</w:t>
      </w:r>
      <w:r w:rsidRPr="00486F91">
        <w:rPr>
          <w:rFonts w:hint="eastAsia"/>
          <w:color w:val="000000"/>
          <w:szCs w:val="21"/>
        </w:rPr>
        <w:t>江苏省政府一般债券（以下简称“本批债券”）纳入江苏省一般公共预算</w:t>
      </w:r>
      <w:r w:rsidRPr="003D1341">
        <w:rPr>
          <w:color w:val="000000"/>
          <w:szCs w:val="21"/>
        </w:rPr>
        <w:t>，债券的违约风险极低，因此评定本批债券</w:t>
      </w:r>
      <w:r w:rsidRPr="00486F91">
        <w:rPr>
          <w:color w:val="000000"/>
          <w:szCs w:val="21"/>
        </w:rPr>
        <w:t>的信用等级为</w:t>
      </w:r>
      <w:r w:rsidRPr="00486F91">
        <w:rPr>
          <w:color w:val="000000"/>
          <w:szCs w:val="21"/>
        </w:rPr>
        <w:t>AAA</w:t>
      </w:r>
      <w:r w:rsidRPr="00486F91">
        <w:rPr>
          <w:rFonts w:hint="eastAsia"/>
          <w:color w:val="000000"/>
          <w:szCs w:val="21"/>
        </w:rPr>
        <w:t>。</w:t>
      </w:r>
    </w:p>
    <w:p w:rsidR="00B12D88" w:rsidRPr="005A5698" w:rsidRDefault="00B12D88" w:rsidP="00B12D88">
      <w:pPr>
        <w:tabs>
          <w:tab w:val="left" w:pos="-426"/>
        </w:tabs>
        <w:spacing w:beforeLines="50" w:before="156"/>
        <w:ind w:leftChars="-202" w:left="-424"/>
        <w:rPr>
          <w:rFonts w:eastAsia="黑体"/>
          <w:b/>
          <w:bCs/>
          <w:kern w:val="36"/>
          <w:sz w:val="24"/>
        </w:rPr>
      </w:pPr>
      <w:r w:rsidRPr="005A5698">
        <w:rPr>
          <w:rFonts w:eastAsia="黑体" w:hint="eastAsia"/>
          <w:b/>
          <w:bCs/>
          <w:kern w:val="36"/>
          <w:sz w:val="24"/>
        </w:rPr>
        <w:t>评级观点</w:t>
      </w:r>
    </w:p>
    <w:p w:rsidR="002C764B" w:rsidRPr="004428E4" w:rsidRDefault="002C764B" w:rsidP="002C764B">
      <w:pPr>
        <w:numPr>
          <w:ilvl w:val="0"/>
          <w:numId w:val="6"/>
        </w:numPr>
        <w:tabs>
          <w:tab w:val="left" w:pos="-378"/>
        </w:tabs>
        <w:spacing w:line="300" w:lineRule="auto"/>
        <w:ind w:leftChars="-193" w:left="-405" w:firstLine="0"/>
        <w:rPr>
          <w:color w:val="000000"/>
          <w:szCs w:val="21"/>
        </w:rPr>
      </w:pPr>
      <w:r w:rsidRPr="00094226">
        <w:rPr>
          <w:color w:val="000000"/>
          <w:szCs w:val="21"/>
        </w:rPr>
        <w:t>江苏省地处长江三角洲，近年来经济平稳增长。</w:t>
      </w:r>
      <w:r w:rsidRPr="00094226">
        <w:rPr>
          <w:color w:val="000000"/>
          <w:szCs w:val="21"/>
        </w:rPr>
        <w:t>201</w:t>
      </w:r>
      <w:r w:rsidR="009F1687">
        <w:rPr>
          <w:rFonts w:hint="eastAsia"/>
          <w:color w:val="000000"/>
          <w:szCs w:val="21"/>
        </w:rPr>
        <w:t>5</w:t>
      </w:r>
      <w:r w:rsidRPr="00094226">
        <w:rPr>
          <w:color w:val="000000"/>
          <w:szCs w:val="21"/>
        </w:rPr>
        <w:t>年江苏省实现地区生产总值</w:t>
      </w:r>
      <w:r w:rsidR="005A1D58" w:rsidRPr="002628A2">
        <w:rPr>
          <w:color w:val="000000"/>
          <w:szCs w:val="21"/>
        </w:rPr>
        <w:t>70,116.</w:t>
      </w:r>
      <w:r w:rsidR="006B0350">
        <w:rPr>
          <w:rFonts w:hint="eastAsia"/>
          <w:color w:val="000000"/>
          <w:szCs w:val="21"/>
        </w:rPr>
        <w:t>38</w:t>
      </w:r>
      <w:r w:rsidRPr="00094226">
        <w:rPr>
          <w:color w:val="000000"/>
          <w:szCs w:val="21"/>
        </w:rPr>
        <w:t>亿元，人均地区生产总值为</w:t>
      </w:r>
      <w:r w:rsidR="00BF7761" w:rsidRPr="002628A2">
        <w:rPr>
          <w:color w:val="000000"/>
          <w:szCs w:val="21"/>
        </w:rPr>
        <w:t>87,995</w:t>
      </w:r>
      <w:r w:rsidRPr="002628A2">
        <w:rPr>
          <w:color w:val="000000"/>
          <w:szCs w:val="21"/>
        </w:rPr>
        <w:t>.00</w:t>
      </w:r>
      <w:r w:rsidRPr="00094226">
        <w:rPr>
          <w:color w:val="000000"/>
          <w:szCs w:val="21"/>
        </w:rPr>
        <w:t>元。虽然受宏观经济趋缓和经济转型升级影响，江苏近年经济增速有</w:t>
      </w:r>
      <w:r w:rsidRPr="004428E4">
        <w:rPr>
          <w:color w:val="000000"/>
          <w:szCs w:val="21"/>
        </w:rPr>
        <w:t>所放缓，但围绕</w:t>
      </w:r>
      <w:r>
        <w:rPr>
          <w:rFonts w:hint="eastAsia"/>
          <w:color w:val="000000"/>
          <w:szCs w:val="21"/>
        </w:rPr>
        <w:t>“</w:t>
      </w:r>
      <w:r w:rsidRPr="004428E4">
        <w:rPr>
          <w:color w:val="000000"/>
          <w:szCs w:val="21"/>
        </w:rPr>
        <w:t>迈上新台阶、建设新江苏</w:t>
      </w:r>
      <w:r>
        <w:rPr>
          <w:rFonts w:hint="eastAsia"/>
          <w:color w:val="000000"/>
          <w:szCs w:val="21"/>
        </w:rPr>
        <w:t>”</w:t>
      </w:r>
      <w:r w:rsidRPr="004428E4">
        <w:rPr>
          <w:color w:val="000000"/>
          <w:szCs w:val="21"/>
        </w:rPr>
        <w:t>战略，</w:t>
      </w:r>
      <w:r w:rsidRPr="004428E4">
        <w:rPr>
          <w:rFonts w:hint="eastAsia"/>
          <w:color w:val="000000"/>
          <w:szCs w:val="21"/>
        </w:rPr>
        <w:t>基于较强的内生发展动力、深入落实“长江经济带”等国家战略，预计未来其经</w:t>
      </w:r>
      <w:r w:rsidRPr="004428E4">
        <w:rPr>
          <w:color w:val="000000"/>
          <w:szCs w:val="21"/>
        </w:rPr>
        <w:t>济将保持增长。</w:t>
      </w:r>
    </w:p>
    <w:p w:rsidR="002C764B" w:rsidRPr="004428E4" w:rsidRDefault="002C764B" w:rsidP="002C764B">
      <w:pPr>
        <w:numPr>
          <w:ilvl w:val="0"/>
          <w:numId w:val="6"/>
        </w:numPr>
        <w:tabs>
          <w:tab w:val="left" w:pos="-378"/>
        </w:tabs>
        <w:spacing w:line="300" w:lineRule="auto"/>
        <w:ind w:leftChars="-193" w:left="-405" w:firstLine="0"/>
        <w:rPr>
          <w:color w:val="000000"/>
          <w:szCs w:val="21"/>
        </w:rPr>
      </w:pPr>
      <w:r w:rsidRPr="004428E4">
        <w:rPr>
          <w:rFonts w:hint="eastAsia"/>
          <w:color w:val="000000"/>
          <w:szCs w:val="21"/>
        </w:rPr>
        <w:t>得益于较高的经济发展水平和多元化产业结构，</w:t>
      </w:r>
      <w:r w:rsidRPr="004428E4">
        <w:rPr>
          <w:color w:val="000000"/>
          <w:szCs w:val="21"/>
        </w:rPr>
        <w:t>江苏省综合财力雄厚，保持增长，财政收支保持</w:t>
      </w:r>
      <w:r w:rsidRPr="004428E4">
        <w:rPr>
          <w:rFonts w:hint="eastAsia"/>
          <w:color w:val="000000"/>
          <w:szCs w:val="21"/>
        </w:rPr>
        <w:t>平衡。</w:t>
      </w:r>
      <w:r w:rsidR="00510C50" w:rsidRPr="004428E4">
        <w:rPr>
          <w:color w:val="000000"/>
          <w:szCs w:val="21"/>
        </w:rPr>
        <w:t>201</w:t>
      </w:r>
      <w:r w:rsidR="00510C50">
        <w:rPr>
          <w:rFonts w:hint="eastAsia"/>
          <w:color w:val="000000"/>
          <w:szCs w:val="21"/>
        </w:rPr>
        <w:t>5</w:t>
      </w:r>
      <w:r w:rsidRPr="004428E4">
        <w:rPr>
          <w:color w:val="000000"/>
          <w:szCs w:val="21"/>
        </w:rPr>
        <w:t>年</w:t>
      </w:r>
      <w:r w:rsidRPr="004428E4">
        <w:rPr>
          <w:rFonts w:hint="eastAsia"/>
          <w:color w:val="000000"/>
          <w:szCs w:val="21"/>
        </w:rPr>
        <w:t>全省和本级综合财</w:t>
      </w:r>
      <w:r w:rsidRPr="00FB0BC3">
        <w:rPr>
          <w:rFonts w:hint="eastAsia"/>
          <w:color w:val="000000"/>
          <w:szCs w:val="21"/>
        </w:rPr>
        <w:t>力分别为</w:t>
      </w:r>
      <w:r w:rsidR="005837AA" w:rsidRPr="00FB0BC3">
        <w:rPr>
          <w:color w:val="000000"/>
          <w:szCs w:val="21"/>
        </w:rPr>
        <w:t>15,427.27</w:t>
      </w:r>
      <w:r w:rsidRPr="00FB0BC3">
        <w:rPr>
          <w:rFonts w:hint="eastAsia"/>
          <w:color w:val="000000"/>
          <w:szCs w:val="21"/>
        </w:rPr>
        <w:t>亿元和</w:t>
      </w:r>
      <w:r w:rsidR="005837AA" w:rsidRPr="00FB0BC3">
        <w:rPr>
          <w:color w:val="000000"/>
          <w:szCs w:val="21"/>
        </w:rPr>
        <w:t>1,380.06</w:t>
      </w:r>
      <w:r w:rsidRPr="00FB0BC3">
        <w:rPr>
          <w:rFonts w:hint="eastAsia"/>
          <w:color w:val="000000"/>
          <w:szCs w:val="21"/>
        </w:rPr>
        <w:t>亿元，</w:t>
      </w:r>
      <w:r w:rsidRPr="00FB0BC3">
        <w:rPr>
          <w:color w:val="000000"/>
          <w:szCs w:val="21"/>
        </w:rPr>
        <w:t>居全国各省</w:t>
      </w:r>
      <w:r w:rsidRPr="00FB0BC3">
        <w:rPr>
          <w:rFonts w:hint="eastAsia"/>
          <w:color w:val="000000"/>
          <w:szCs w:val="21"/>
        </w:rPr>
        <w:t>（自治</w:t>
      </w:r>
      <w:r w:rsidRPr="00FB0BC3">
        <w:rPr>
          <w:color w:val="000000"/>
          <w:szCs w:val="21"/>
        </w:rPr>
        <w:t>区</w:t>
      </w:r>
      <w:r w:rsidRPr="00FB0BC3">
        <w:rPr>
          <w:rFonts w:hint="eastAsia"/>
          <w:color w:val="000000"/>
          <w:szCs w:val="21"/>
        </w:rPr>
        <w:t>）</w:t>
      </w:r>
      <w:r w:rsidRPr="00FB0BC3">
        <w:rPr>
          <w:color w:val="000000"/>
          <w:szCs w:val="21"/>
        </w:rPr>
        <w:t>前</w:t>
      </w:r>
      <w:r w:rsidRPr="00FB0BC3">
        <w:rPr>
          <w:rFonts w:hint="eastAsia"/>
          <w:color w:val="000000"/>
          <w:szCs w:val="21"/>
        </w:rPr>
        <w:t>列</w:t>
      </w:r>
      <w:r w:rsidRPr="00FB0BC3">
        <w:rPr>
          <w:color w:val="000000"/>
          <w:szCs w:val="21"/>
        </w:rPr>
        <w:t>；</w:t>
      </w:r>
      <w:r w:rsidRPr="00FB0BC3">
        <w:rPr>
          <w:rFonts w:hint="eastAsia"/>
          <w:color w:val="000000"/>
          <w:szCs w:val="21"/>
        </w:rPr>
        <w:t>收入质量提升，</w:t>
      </w:r>
      <w:r w:rsidR="00510C50" w:rsidRPr="00FB0BC3">
        <w:rPr>
          <w:rFonts w:hint="eastAsia"/>
          <w:color w:val="000000"/>
          <w:szCs w:val="21"/>
        </w:rPr>
        <w:t>2015</w:t>
      </w:r>
      <w:r w:rsidRPr="00FB0BC3">
        <w:rPr>
          <w:rFonts w:hint="eastAsia"/>
          <w:color w:val="000000"/>
          <w:szCs w:val="21"/>
        </w:rPr>
        <w:t>年税收占一般公共预算收入比例为</w:t>
      </w:r>
      <w:r w:rsidRPr="00FB0BC3">
        <w:rPr>
          <w:rFonts w:hint="eastAsia"/>
          <w:color w:val="000000"/>
          <w:szCs w:val="21"/>
        </w:rPr>
        <w:t>8</w:t>
      </w:r>
      <w:r w:rsidR="005E7F25">
        <w:rPr>
          <w:rFonts w:hint="eastAsia"/>
          <w:color w:val="000000"/>
          <w:szCs w:val="21"/>
        </w:rPr>
        <w:t>2.33</w:t>
      </w:r>
      <w:r w:rsidRPr="00FB0BC3">
        <w:rPr>
          <w:rFonts w:hint="eastAsia"/>
          <w:color w:val="000000"/>
          <w:szCs w:val="21"/>
        </w:rPr>
        <w:t>%</w:t>
      </w:r>
      <w:r w:rsidRPr="00FB0BC3">
        <w:rPr>
          <w:rFonts w:hint="eastAsia"/>
          <w:color w:val="000000"/>
          <w:szCs w:val="21"/>
        </w:rPr>
        <w:t>；</w:t>
      </w:r>
      <w:r w:rsidR="005837AA" w:rsidRPr="00FB0BC3">
        <w:rPr>
          <w:rFonts w:hint="eastAsia"/>
          <w:color w:val="000000"/>
          <w:szCs w:val="21"/>
        </w:rPr>
        <w:t>2012~2014</w:t>
      </w:r>
      <w:r w:rsidR="005837AA" w:rsidRPr="00FB0BC3">
        <w:rPr>
          <w:rFonts w:hint="eastAsia"/>
          <w:color w:val="000000"/>
          <w:szCs w:val="21"/>
        </w:rPr>
        <w:t>年</w:t>
      </w:r>
      <w:r w:rsidRPr="00FB0BC3">
        <w:rPr>
          <w:color w:val="000000"/>
          <w:szCs w:val="21"/>
        </w:rPr>
        <w:t>全省一般公共预算净结余分别为</w:t>
      </w:r>
      <w:r w:rsidRPr="00FB0BC3">
        <w:rPr>
          <w:color w:val="000000"/>
          <w:szCs w:val="21"/>
        </w:rPr>
        <w:t>79.74</w:t>
      </w:r>
      <w:r w:rsidRPr="00FB0BC3">
        <w:rPr>
          <w:color w:val="000000"/>
          <w:szCs w:val="21"/>
        </w:rPr>
        <w:t>亿元、</w:t>
      </w:r>
      <w:r w:rsidRPr="00FB0BC3">
        <w:rPr>
          <w:color w:val="000000"/>
          <w:szCs w:val="21"/>
        </w:rPr>
        <w:t>102.36</w:t>
      </w:r>
      <w:r w:rsidRPr="00FB0BC3">
        <w:rPr>
          <w:color w:val="000000"/>
          <w:szCs w:val="21"/>
        </w:rPr>
        <w:t>亿元和</w:t>
      </w:r>
      <w:r w:rsidRPr="00FB0BC3">
        <w:rPr>
          <w:rFonts w:hint="eastAsia"/>
          <w:color w:val="000000"/>
          <w:szCs w:val="21"/>
        </w:rPr>
        <w:t>128.2</w:t>
      </w:r>
      <w:r w:rsidR="00E9460A" w:rsidRPr="00FB0BC3">
        <w:rPr>
          <w:rFonts w:hint="eastAsia"/>
          <w:color w:val="000000"/>
          <w:szCs w:val="21"/>
        </w:rPr>
        <w:t>6</w:t>
      </w:r>
      <w:r w:rsidRPr="00FB0BC3">
        <w:rPr>
          <w:color w:val="000000"/>
          <w:szCs w:val="21"/>
        </w:rPr>
        <w:t>亿元</w:t>
      </w:r>
      <w:r w:rsidRPr="00FB0BC3">
        <w:rPr>
          <w:rFonts w:hint="eastAsia"/>
          <w:color w:val="000000"/>
          <w:szCs w:val="21"/>
        </w:rPr>
        <w:t>。</w:t>
      </w:r>
      <w:r w:rsidRPr="00FB0BC3">
        <w:rPr>
          <w:color w:val="000000"/>
          <w:szCs w:val="21"/>
        </w:rPr>
        <w:t>江苏省政府性基金收入</w:t>
      </w:r>
      <w:r w:rsidRPr="00FB0BC3">
        <w:rPr>
          <w:rFonts w:hint="eastAsia"/>
          <w:color w:val="000000"/>
          <w:szCs w:val="21"/>
        </w:rPr>
        <w:t>规模较大，未来房地产市场波动可能对基金收入产生</w:t>
      </w:r>
      <w:r w:rsidRPr="004428E4">
        <w:rPr>
          <w:rFonts w:hint="eastAsia"/>
          <w:color w:val="000000"/>
          <w:szCs w:val="21"/>
        </w:rPr>
        <w:t>一定影响。</w:t>
      </w:r>
    </w:p>
    <w:p w:rsidR="00B12D88" w:rsidRPr="002C764B" w:rsidRDefault="002C764B" w:rsidP="002C764B">
      <w:pPr>
        <w:numPr>
          <w:ilvl w:val="0"/>
          <w:numId w:val="6"/>
        </w:numPr>
        <w:tabs>
          <w:tab w:val="left" w:pos="-378"/>
        </w:tabs>
        <w:spacing w:line="300" w:lineRule="auto"/>
        <w:ind w:leftChars="-193" w:left="-405" w:firstLine="0"/>
        <w:rPr>
          <w:color w:val="000000"/>
          <w:szCs w:val="21"/>
        </w:rPr>
      </w:pPr>
      <w:r w:rsidRPr="002C764B">
        <w:rPr>
          <w:rFonts w:hint="eastAsia"/>
          <w:color w:val="000000"/>
          <w:szCs w:val="21"/>
        </w:rPr>
        <w:t>江苏省</w:t>
      </w:r>
      <w:r w:rsidR="00ED2742">
        <w:rPr>
          <w:rFonts w:hint="eastAsia"/>
        </w:rPr>
        <w:t>政府债务</w:t>
      </w:r>
      <w:r w:rsidR="00A36366">
        <w:rPr>
          <w:rFonts w:hint="eastAsia"/>
        </w:rPr>
        <w:t>小幅下降，</w:t>
      </w:r>
      <w:r w:rsidR="00ED2742">
        <w:rPr>
          <w:rFonts w:hint="eastAsia"/>
        </w:rPr>
        <w:t>或有债务</w:t>
      </w:r>
      <w:r w:rsidRPr="002C764B">
        <w:rPr>
          <w:rFonts w:hint="eastAsia"/>
          <w:color w:val="000000"/>
          <w:szCs w:val="21"/>
        </w:rPr>
        <w:t>增速平缓，债务指标表现较好，同时拥有较大规模的国有资产和上市公司股权，可增加其流动性</w:t>
      </w:r>
      <w:r w:rsidRPr="002C764B">
        <w:rPr>
          <w:color w:val="000000"/>
          <w:szCs w:val="21"/>
        </w:rPr>
        <w:t>。</w:t>
      </w:r>
      <w:r w:rsidR="005837AA" w:rsidRPr="005837AA">
        <w:rPr>
          <w:color w:val="000000"/>
          <w:szCs w:val="21"/>
        </w:rPr>
        <w:t>201</w:t>
      </w:r>
      <w:r w:rsidR="005837AA" w:rsidRPr="002628A2">
        <w:rPr>
          <w:color w:val="000000"/>
          <w:szCs w:val="21"/>
        </w:rPr>
        <w:t>5</w:t>
      </w:r>
      <w:r w:rsidRPr="005837AA">
        <w:rPr>
          <w:rFonts w:hint="eastAsia"/>
          <w:color w:val="000000"/>
          <w:szCs w:val="21"/>
        </w:rPr>
        <w:t>年底江苏全省</w:t>
      </w:r>
      <w:r w:rsidR="005837AA" w:rsidRPr="002628A2">
        <w:rPr>
          <w:rFonts w:hint="eastAsia"/>
          <w:color w:val="000000"/>
          <w:szCs w:val="21"/>
        </w:rPr>
        <w:t>政府</w:t>
      </w:r>
      <w:r w:rsidRPr="005837AA">
        <w:rPr>
          <w:rFonts w:hint="eastAsia"/>
          <w:color w:val="000000"/>
          <w:szCs w:val="21"/>
        </w:rPr>
        <w:t>债务率为</w:t>
      </w:r>
      <w:r w:rsidR="005837AA" w:rsidRPr="002628A2">
        <w:rPr>
          <w:color w:val="000000"/>
          <w:szCs w:val="21"/>
        </w:rPr>
        <w:t>68.50</w:t>
      </w:r>
      <w:r w:rsidRPr="005837AA">
        <w:rPr>
          <w:color w:val="000000"/>
          <w:szCs w:val="21"/>
        </w:rPr>
        <w:t>%</w:t>
      </w:r>
      <w:r w:rsidRPr="005837AA">
        <w:rPr>
          <w:rFonts w:hint="eastAsia"/>
          <w:color w:val="000000"/>
          <w:szCs w:val="21"/>
        </w:rPr>
        <w:t>，远低于国际参考标准值（</w:t>
      </w:r>
      <w:r w:rsidRPr="005837AA">
        <w:rPr>
          <w:color w:val="000000"/>
          <w:szCs w:val="21"/>
        </w:rPr>
        <w:t>90%~150%</w:t>
      </w:r>
      <w:r w:rsidRPr="005837AA">
        <w:rPr>
          <w:rFonts w:hint="eastAsia"/>
          <w:color w:val="000000"/>
          <w:szCs w:val="21"/>
        </w:rPr>
        <w:t>）。</w:t>
      </w:r>
    </w:p>
    <w:p w:rsidR="00B12D88" w:rsidRPr="005837AA" w:rsidRDefault="00B12D88" w:rsidP="00B12D88">
      <w:pPr>
        <w:numPr>
          <w:ilvl w:val="0"/>
          <w:numId w:val="6"/>
        </w:numPr>
        <w:tabs>
          <w:tab w:val="left" w:pos="-378"/>
        </w:tabs>
        <w:spacing w:line="300" w:lineRule="auto"/>
        <w:ind w:leftChars="-180" w:left="-378" w:firstLine="0"/>
        <w:rPr>
          <w:color w:val="000000"/>
          <w:szCs w:val="21"/>
        </w:rPr>
      </w:pPr>
      <w:r w:rsidRPr="005837AA">
        <w:rPr>
          <w:rFonts w:hint="eastAsia"/>
          <w:color w:val="000000"/>
          <w:szCs w:val="21"/>
        </w:rPr>
        <w:t>本批债券偿债资金纳入一般公共预算，江苏省财力对本批债券的偿还保障程度很高。本批债券发行规模</w:t>
      </w:r>
      <w:r w:rsidRPr="005837AA">
        <w:rPr>
          <w:color w:val="000000"/>
          <w:szCs w:val="21"/>
        </w:rPr>
        <w:t>/</w:t>
      </w:r>
      <w:r w:rsidR="00F96907" w:rsidRPr="005837AA">
        <w:rPr>
          <w:color w:val="000000"/>
          <w:szCs w:val="21"/>
        </w:rPr>
        <w:t>201</w:t>
      </w:r>
      <w:r w:rsidR="00F96907" w:rsidRPr="002628A2">
        <w:rPr>
          <w:color w:val="000000"/>
          <w:szCs w:val="21"/>
        </w:rPr>
        <w:t>5</w:t>
      </w:r>
      <w:r w:rsidRPr="005837AA">
        <w:rPr>
          <w:rFonts w:hint="eastAsia"/>
          <w:color w:val="000000"/>
          <w:szCs w:val="21"/>
        </w:rPr>
        <w:t>年全省一般公共预算收入为</w:t>
      </w:r>
      <w:r w:rsidR="0089114F" w:rsidRPr="005837AA">
        <w:t>7.58</w:t>
      </w:r>
      <w:r w:rsidR="0015667C" w:rsidRPr="005837AA">
        <w:rPr>
          <w:color w:val="000000"/>
          <w:szCs w:val="21"/>
        </w:rPr>
        <w:t>%</w:t>
      </w:r>
      <w:r w:rsidRPr="005837AA">
        <w:rPr>
          <w:rFonts w:hint="eastAsia"/>
          <w:color w:val="000000"/>
          <w:szCs w:val="21"/>
        </w:rPr>
        <w:t>，本批债券发行规模</w:t>
      </w:r>
      <w:r w:rsidRPr="005837AA">
        <w:rPr>
          <w:color w:val="000000"/>
          <w:szCs w:val="21"/>
        </w:rPr>
        <w:t>/</w:t>
      </w:r>
      <w:r w:rsidR="00F96907" w:rsidRPr="005837AA">
        <w:rPr>
          <w:color w:val="000000"/>
          <w:szCs w:val="21"/>
        </w:rPr>
        <w:t>201</w:t>
      </w:r>
      <w:r w:rsidR="00F96907" w:rsidRPr="002628A2">
        <w:rPr>
          <w:color w:val="000000"/>
          <w:szCs w:val="21"/>
        </w:rPr>
        <w:t>5</w:t>
      </w:r>
      <w:r w:rsidRPr="005837AA">
        <w:rPr>
          <w:rFonts w:hint="eastAsia"/>
          <w:color w:val="000000"/>
          <w:szCs w:val="21"/>
        </w:rPr>
        <w:t>年全省综合财力为</w:t>
      </w:r>
      <w:r w:rsidR="005837AA" w:rsidRPr="002628A2">
        <w:rPr>
          <w:color w:val="000000"/>
          <w:szCs w:val="21"/>
        </w:rPr>
        <w:t>3.94%</w:t>
      </w:r>
      <w:r w:rsidRPr="005837AA">
        <w:rPr>
          <w:rFonts w:hint="eastAsia"/>
          <w:color w:val="000000"/>
          <w:szCs w:val="21"/>
        </w:rPr>
        <w:t>。</w:t>
      </w:r>
    </w:p>
    <w:p w:rsidR="00B12D88" w:rsidRPr="00094226" w:rsidRDefault="00B12D88" w:rsidP="00B12D88">
      <w:pPr>
        <w:spacing w:beforeLines="100" w:before="312" w:line="360" w:lineRule="exact"/>
        <w:rPr>
          <w:rFonts w:eastAsia="仿宋"/>
          <w:b/>
          <w:color w:val="000000"/>
          <w:sz w:val="22"/>
          <w:szCs w:val="21"/>
        </w:rPr>
        <w:sectPr w:rsidR="00B12D88" w:rsidRPr="00094226" w:rsidSect="000F2CB7">
          <w:headerReference w:type="default" r:id="rId10"/>
          <w:footerReference w:type="default" r:id="rId11"/>
          <w:pgSz w:w="11906" w:h="16838" w:code="9"/>
          <w:pgMar w:top="1985" w:right="1021" w:bottom="1702" w:left="1134" w:header="567" w:footer="389" w:gutter="0"/>
          <w:pgNumType w:start="1"/>
          <w:cols w:num="2" w:space="425" w:equalWidth="0">
            <w:col w:w="3284" w:space="1536"/>
            <w:col w:w="4931"/>
          </w:cols>
          <w:docGrid w:type="lines" w:linePitch="312"/>
        </w:sectPr>
      </w:pPr>
    </w:p>
    <w:p w:rsidR="0085792E" w:rsidRPr="00094226" w:rsidRDefault="0085792E" w:rsidP="0085792E">
      <w:pPr>
        <w:adjustRightInd w:val="0"/>
        <w:snapToGrid w:val="0"/>
        <w:spacing w:beforeLines="100" w:before="312" w:afterLines="50" w:after="156"/>
        <w:outlineLvl w:val="0"/>
        <w:rPr>
          <w:rFonts w:eastAsia="黑体"/>
          <w:b/>
          <w:sz w:val="24"/>
          <w:lang w:val="x-none" w:eastAsia="x-none"/>
        </w:rPr>
      </w:pPr>
      <w:r w:rsidRPr="00094226">
        <w:rPr>
          <w:rFonts w:eastAsia="黑体"/>
          <w:b/>
          <w:sz w:val="24"/>
          <w:lang w:val="x-none"/>
        </w:rPr>
        <w:lastRenderedPageBreak/>
        <w:t>一</w:t>
      </w:r>
      <w:r w:rsidRPr="00094226">
        <w:rPr>
          <w:rFonts w:eastAsia="黑体"/>
          <w:b/>
          <w:sz w:val="24"/>
          <w:lang w:val="x-none" w:eastAsia="x-none"/>
        </w:rPr>
        <w:t>、</w:t>
      </w:r>
      <w:proofErr w:type="spellStart"/>
      <w:r w:rsidRPr="00094226">
        <w:rPr>
          <w:rFonts w:eastAsia="黑体"/>
          <w:b/>
          <w:sz w:val="24"/>
          <w:lang w:val="x-none" w:eastAsia="x-none"/>
        </w:rPr>
        <w:t>宏观经济</w:t>
      </w:r>
      <w:r w:rsidRPr="00094226">
        <w:rPr>
          <w:rFonts w:eastAsia="黑体"/>
          <w:b/>
          <w:sz w:val="24"/>
          <w:lang w:val="x-none"/>
        </w:rPr>
        <w:t>环境</w:t>
      </w:r>
      <w:r w:rsidRPr="00094226">
        <w:rPr>
          <w:rFonts w:eastAsia="黑体"/>
          <w:b/>
          <w:sz w:val="24"/>
          <w:lang w:val="x-none" w:eastAsia="x-none"/>
        </w:rPr>
        <w:t>分析</w:t>
      </w:r>
      <w:proofErr w:type="spellEnd"/>
    </w:p>
    <w:p w:rsidR="00486F91" w:rsidRPr="00094226" w:rsidRDefault="00486F91" w:rsidP="00486F91">
      <w:pPr>
        <w:spacing w:beforeLines="50" w:before="156" w:afterLines="50" w:after="156"/>
        <w:rPr>
          <w:rFonts w:eastAsia="黑体"/>
          <w:b/>
          <w:szCs w:val="21"/>
        </w:rPr>
      </w:pPr>
      <w:r w:rsidRPr="00954ED1">
        <w:rPr>
          <w:rFonts w:eastAsia="黑体"/>
          <w:b/>
          <w:szCs w:val="21"/>
        </w:rPr>
        <w:t>未来中国经济发展</w:t>
      </w:r>
      <w:r w:rsidRPr="00954ED1">
        <w:rPr>
          <w:rFonts w:eastAsia="黑体" w:hint="eastAsia"/>
          <w:b/>
          <w:szCs w:val="21"/>
        </w:rPr>
        <w:t>仍将</w:t>
      </w:r>
      <w:r w:rsidRPr="00954ED1">
        <w:rPr>
          <w:rFonts w:eastAsia="黑体"/>
          <w:b/>
          <w:szCs w:val="21"/>
        </w:rPr>
        <w:t>处于</w:t>
      </w:r>
      <w:r w:rsidRPr="00954ED1">
        <w:rPr>
          <w:rFonts w:eastAsia="黑体" w:hint="eastAsia"/>
          <w:b/>
          <w:szCs w:val="21"/>
        </w:rPr>
        <w:t>“</w:t>
      </w:r>
      <w:r w:rsidRPr="00954ED1">
        <w:rPr>
          <w:rFonts w:eastAsia="黑体"/>
          <w:b/>
          <w:szCs w:val="21"/>
        </w:rPr>
        <w:t>新常态</w:t>
      </w:r>
      <w:r w:rsidRPr="00954ED1">
        <w:rPr>
          <w:rFonts w:eastAsia="黑体" w:hint="eastAsia"/>
          <w:b/>
          <w:szCs w:val="21"/>
        </w:rPr>
        <w:t>”</w:t>
      </w:r>
      <w:r w:rsidRPr="00954ED1">
        <w:rPr>
          <w:rFonts w:eastAsia="黑体"/>
          <w:b/>
          <w:szCs w:val="21"/>
        </w:rPr>
        <w:t>，调整经济结构和转变经济增长方式</w:t>
      </w:r>
      <w:r w:rsidRPr="00954ED1">
        <w:rPr>
          <w:rFonts w:eastAsia="黑体" w:hint="eastAsia"/>
          <w:b/>
          <w:szCs w:val="21"/>
        </w:rPr>
        <w:t>仍</w:t>
      </w:r>
      <w:r w:rsidRPr="00954ED1">
        <w:rPr>
          <w:rFonts w:eastAsia="黑体"/>
          <w:b/>
          <w:szCs w:val="21"/>
        </w:rPr>
        <w:t>为主旋律；在此背景下，全国财政收入增速将保持中低速增长，地区间增速分化将趋于明显，土地出让收入波动将加大；政府债务</w:t>
      </w:r>
      <w:r w:rsidRPr="00954ED1">
        <w:rPr>
          <w:rFonts w:eastAsia="黑体" w:hint="eastAsia"/>
          <w:b/>
          <w:szCs w:val="21"/>
        </w:rPr>
        <w:t>实行限额管理</w:t>
      </w:r>
      <w:r w:rsidRPr="00954ED1">
        <w:rPr>
          <w:rFonts w:eastAsia="黑体"/>
          <w:b/>
          <w:szCs w:val="21"/>
        </w:rPr>
        <w:t>，管理不断规范</w:t>
      </w:r>
      <w:r w:rsidRPr="00954ED1">
        <w:rPr>
          <w:rFonts w:eastAsia="黑体" w:hint="eastAsia"/>
          <w:b/>
          <w:szCs w:val="21"/>
        </w:rPr>
        <w:t>，</w:t>
      </w:r>
      <w:r w:rsidRPr="00954ED1">
        <w:rPr>
          <w:rFonts w:eastAsia="黑体"/>
          <w:b/>
          <w:szCs w:val="21"/>
        </w:rPr>
        <w:t>债务风险总体可控</w:t>
      </w:r>
    </w:p>
    <w:p w:rsidR="00486F91" w:rsidRPr="00094226" w:rsidRDefault="00486F91" w:rsidP="00486F91">
      <w:pPr>
        <w:spacing w:line="300" w:lineRule="auto"/>
        <w:ind w:firstLineChars="200" w:firstLine="422"/>
        <w:rPr>
          <w:szCs w:val="22"/>
        </w:rPr>
      </w:pPr>
      <w:r w:rsidRPr="00954ED1">
        <w:rPr>
          <w:b/>
          <w:szCs w:val="22"/>
        </w:rPr>
        <w:t>经济发展</w:t>
      </w:r>
      <w:r w:rsidRPr="00954ED1">
        <w:rPr>
          <w:rFonts w:hint="eastAsia"/>
          <w:b/>
          <w:szCs w:val="22"/>
        </w:rPr>
        <w:t>步入“</w:t>
      </w:r>
      <w:r w:rsidRPr="00954ED1">
        <w:rPr>
          <w:b/>
          <w:szCs w:val="22"/>
        </w:rPr>
        <w:t>新常态</w:t>
      </w:r>
      <w:r w:rsidRPr="00954ED1">
        <w:rPr>
          <w:rFonts w:hint="eastAsia"/>
          <w:b/>
          <w:szCs w:val="22"/>
        </w:rPr>
        <w:t>”</w:t>
      </w:r>
      <w:r w:rsidRPr="00094226">
        <w:rPr>
          <w:b/>
          <w:szCs w:val="22"/>
        </w:rPr>
        <w:t>。</w:t>
      </w:r>
      <w:r w:rsidRPr="00094226">
        <w:rPr>
          <w:szCs w:val="22"/>
        </w:rPr>
        <w:t>面对世界经济复苏艰难、国内经济下行压力加大的复杂形势，自</w:t>
      </w:r>
      <w:r w:rsidRPr="00094226">
        <w:rPr>
          <w:szCs w:val="22"/>
        </w:rPr>
        <w:t>2011</w:t>
      </w:r>
      <w:r w:rsidRPr="00094226">
        <w:rPr>
          <w:szCs w:val="22"/>
        </w:rPr>
        <w:t>年以来，中央坚持</w:t>
      </w:r>
      <w:r>
        <w:rPr>
          <w:rFonts w:hint="eastAsia"/>
          <w:szCs w:val="22"/>
        </w:rPr>
        <w:t>“</w:t>
      </w:r>
      <w:r w:rsidRPr="00094226">
        <w:rPr>
          <w:szCs w:val="22"/>
        </w:rPr>
        <w:t>稳增长、转方式、调结构</w:t>
      </w:r>
      <w:r>
        <w:rPr>
          <w:rFonts w:hint="eastAsia"/>
          <w:szCs w:val="22"/>
        </w:rPr>
        <w:t>”</w:t>
      </w:r>
      <w:r w:rsidRPr="00094226">
        <w:rPr>
          <w:szCs w:val="22"/>
        </w:rPr>
        <w:t>的政策思路，</w:t>
      </w:r>
      <w:r w:rsidRPr="000F547B">
        <w:rPr>
          <w:szCs w:val="22"/>
        </w:rPr>
        <w:t>坚持实施积极的财政政策和稳健的货币政策，宏观经济在新常态下平稳运行</w:t>
      </w:r>
      <w:r w:rsidRPr="00094226">
        <w:rPr>
          <w:szCs w:val="22"/>
        </w:rPr>
        <w:t>。</w:t>
      </w:r>
      <w:r w:rsidRPr="00954ED1">
        <w:rPr>
          <w:szCs w:val="22"/>
        </w:rPr>
        <w:t>201</w:t>
      </w:r>
      <w:r w:rsidRPr="00954ED1">
        <w:rPr>
          <w:rFonts w:hint="eastAsia"/>
          <w:szCs w:val="22"/>
        </w:rPr>
        <w:t>5</w:t>
      </w:r>
      <w:r w:rsidRPr="00954ED1">
        <w:rPr>
          <w:szCs w:val="22"/>
        </w:rPr>
        <w:t>年，中国国内生产总值</w:t>
      </w:r>
      <w:r w:rsidRPr="00954ED1">
        <w:rPr>
          <w:szCs w:val="22"/>
        </w:rPr>
        <w:t>6</w:t>
      </w:r>
      <w:r w:rsidRPr="00954ED1">
        <w:rPr>
          <w:rFonts w:hint="eastAsia"/>
          <w:szCs w:val="22"/>
        </w:rPr>
        <w:t>76,707.80</w:t>
      </w:r>
      <w:r w:rsidRPr="00954ED1">
        <w:rPr>
          <w:szCs w:val="22"/>
        </w:rPr>
        <w:t>亿元，比上年增长</w:t>
      </w:r>
      <w:r w:rsidRPr="00954ED1">
        <w:rPr>
          <w:rFonts w:hint="eastAsia"/>
          <w:szCs w:val="22"/>
        </w:rPr>
        <w:t>6.90</w:t>
      </w:r>
      <w:r w:rsidRPr="00954ED1">
        <w:rPr>
          <w:szCs w:val="22"/>
        </w:rPr>
        <w:t>%</w:t>
      </w:r>
      <w:r w:rsidRPr="00954ED1">
        <w:rPr>
          <w:szCs w:val="22"/>
        </w:rPr>
        <w:t>，较上年增速回落</w:t>
      </w:r>
      <w:r w:rsidRPr="00954ED1">
        <w:rPr>
          <w:szCs w:val="22"/>
        </w:rPr>
        <w:t>0.</w:t>
      </w:r>
      <w:r w:rsidRPr="00954ED1">
        <w:rPr>
          <w:rFonts w:hint="eastAsia"/>
          <w:szCs w:val="22"/>
        </w:rPr>
        <w:t>4</w:t>
      </w:r>
      <w:r w:rsidR="00BE7DCD">
        <w:rPr>
          <w:rFonts w:hint="eastAsia"/>
          <w:szCs w:val="22"/>
        </w:rPr>
        <w:t>0</w:t>
      </w:r>
      <w:r w:rsidRPr="00954ED1">
        <w:rPr>
          <w:szCs w:val="22"/>
        </w:rPr>
        <w:t>个百分点</w:t>
      </w:r>
      <w:r w:rsidRPr="00954ED1">
        <w:rPr>
          <w:rFonts w:hint="eastAsia"/>
          <w:szCs w:val="22"/>
        </w:rPr>
        <w:t>，</w:t>
      </w:r>
      <w:r w:rsidRPr="00954ED1">
        <w:rPr>
          <w:rFonts w:hint="eastAsia"/>
          <w:szCs w:val="21"/>
        </w:rPr>
        <w:t>为</w:t>
      </w:r>
      <w:r w:rsidRPr="00954ED1">
        <w:rPr>
          <w:rFonts w:hint="eastAsia"/>
          <w:szCs w:val="21"/>
        </w:rPr>
        <w:t>1990</w:t>
      </w:r>
      <w:r w:rsidRPr="00954ED1">
        <w:rPr>
          <w:rFonts w:hint="eastAsia"/>
          <w:szCs w:val="21"/>
        </w:rPr>
        <w:t>年以来增速首次跌破</w:t>
      </w:r>
      <w:r w:rsidRPr="00954ED1">
        <w:rPr>
          <w:rFonts w:hint="eastAsia"/>
          <w:szCs w:val="21"/>
        </w:rPr>
        <w:t>7</w:t>
      </w:r>
      <w:r w:rsidR="00BE7DCD">
        <w:rPr>
          <w:rFonts w:hint="eastAsia"/>
          <w:szCs w:val="21"/>
        </w:rPr>
        <w:t>.00</w:t>
      </w:r>
      <w:r w:rsidRPr="00954ED1">
        <w:rPr>
          <w:rFonts w:hint="eastAsia"/>
          <w:szCs w:val="21"/>
        </w:rPr>
        <w:t>%</w:t>
      </w:r>
      <w:r w:rsidRPr="00954ED1">
        <w:rPr>
          <w:szCs w:val="22"/>
        </w:rPr>
        <w:t>。</w:t>
      </w:r>
      <w:r w:rsidRPr="00094226">
        <w:rPr>
          <w:szCs w:val="22"/>
        </w:rPr>
        <w:t>未来，从</w:t>
      </w:r>
      <w:r>
        <w:rPr>
          <w:rFonts w:hint="eastAsia"/>
          <w:szCs w:val="22"/>
        </w:rPr>
        <w:t>“</w:t>
      </w:r>
      <w:r w:rsidRPr="00094226">
        <w:rPr>
          <w:szCs w:val="22"/>
        </w:rPr>
        <w:t>三驾马车</w:t>
      </w:r>
      <w:r>
        <w:rPr>
          <w:rFonts w:hint="eastAsia"/>
          <w:szCs w:val="22"/>
        </w:rPr>
        <w:t>”</w:t>
      </w:r>
      <w:r w:rsidRPr="00094226">
        <w:rPr>
          <w:szCs w:val="22"/>
        </w:rPr>
        <w:t>看，固定资产投资方面，尽管基础设施投资仍将保持稳定增长，但传统制造业受产能过剩影响，投资增速放缓，而新型制造业受技术和创新能力限制，未来投资规模有限，</w:t>
      </w:r>
      <w:r w:rsidRPr="00954ED1">
        <w:rPr>
          <w:szCs w:val="22"/>
        </w:rPr>
        <w:t>且</w:t>
      </w:r>
      <w:r w:rsidRPr="00954ED1">
        <w:rPr>
          <w:rFonts w:hint="eastAsia"/>
          <w:szCs w:val="22"/>
        </w:rPr>
        <w:t>从购置土地与新开工等先行指标以及人口结构等中长期因素看，房地产投资复苏尚无根本性改善迹象</w:t>
      </w:r>
      <w:r w:rsidRPr="00954ED1">
        <w:rPr>
          <w:szCs w:val="22"/>
        </w:rPr>
        <w:t>，房地产投资增速将</w:t>
      </w:r>
      <w:r w:rsidRPr="00954ED1">
        <w:rPr>
          <w:rFonts w:hint="eastAsia"/>
          <w:szCs w:val="22"/>
        </w:rPr>
        <w:t>继续</w:t>
      </w:r>
      <w:r w:rsidRPr="00954ED1">
        <w:rPr>
          <w:szCs w:val="22"/>
        </w:rPr>
        <w:t>放缓，整体看固定资产对经济增长的拉动作用将逐步降低</w:t>
      </w:r>
      <w:r w:rsidRPr="00094226">
        <w:rPr>
          <w:szCs w:val="22"/>
        </w:rPr>
        <w:t>。消费方面，增长动力从投资出口驱动向消费驱动转变，居民消费结构持续改善，发展型和享受型消费占比提高。长期看仍将保持较快增长，消费对经济增长的拉动作用将逐步增强，消费驱动经济模式逐步形成。出口方面，随着美国经济复苏，外需将逐步改善，</w:t>
      </w:r>
      <w:r w:rsidRPr="00F61AC0">
        <w:rPr>
          <w:rFonts w:hint="eastAsia"/>
          <w:szCs w:val="22"/>
        </w:rPr>
        <w:t>同时，人民币也存在贬值可能，在一定程度上亦将刺激出口的增长，整体看，</w:t>
      </w:r>
      <w:r w:rsidRPr="00F61AC0">
        <w:rPr>
          <w:szCs w:val="22"/>
        </w:rPr>
        <w:t>净出口对</w:t>
      </w:r>
      <w:r w:rsidRPr="00F61AC0">
        <w:rPr>
          <w:szCs w:val="22"/>
        </w:rPr>
        <w:t>GDP</w:t>
      </w:r>
      <w:r w:rsidRPr="00F61AC0">
        <w:rPr>
          <w:szCs w:val="22"/>
        </w:rPr>
        <w:t>增长的拉动作用将有一定回升</w:t>
      </w:r>
      <w:r w:rsidRPr="00094226">
        <w:rPr>
          <w:szCs w:val="22"/>
        </w:rPr>
        <w:t>。从改革和政策红利来看，国企改革将通过混合所有制、国有资本投资公司、国有资本流动平台等一系列制度安排，建立一个更加市场化的国有资本运营、更加市场化的国有企业管理，激发企业创新发展活力；政府简政放权，将会提高宏观经济运行效率</w:t>
      </w:r>
      <w:r w:rsidRPr="00954ED1">
        <w:rPr>
          <w:szCs w:val="22"/>
        </w:rPr>
        <w:t>，激发创新和创业热情</w:t>
      </w:r>
      <w:r w:rsidRPr="00094226">
        <w:rPr>
          <w:szCs w:val="22"/>
        </w:rPr>
        <w:t>。加快推进自贸区战略，建设</w:t>
      </w:r>
      <w:r>
        <w:rPr>
          <w:rFonts w:hint="eastAsia"/>
          <w:szCs w:val="22"/>
        </w:rPr>
        <w:t>“</w:t>
      </w:r>
      <w:r w:rsidRPr="00094226">
        <w:rPr>
          <w:szCs w:val="22"/>
        </w:rPr>
        <w:t>一带一路</w:t>
      </w:r>
      <w:r>
        <w:rPr>
          <w:rFonts w:hint="eastAsia"/>
          <w:szCs w:val="22"/>
        </w:rPr>
        <w:t>”</w:t>
      </w:r>
      <w:r w:rsidRPr="00094226">
        <w:rPr>
          <w:szCs w:val="22"/>
        </w:rPr>
        <w:t>新丝路的战略支点和经济</w:t>
      </w:r>
      <w:r>
        <w:rPr>
          <w:rFonts w:hint="eastAsia"/>
          <w:szCs w:val="22"/>
        </w:rPr>
        <w:t>“</w:t>
      </w:r>
      <w:r w:rsidRPr="00094226">
        <w:rPr>
          <w:szCs w:val="22"/>
        </w:rPr>
        <w:t>桥头堡</w:t>
      </w:r>
      <w:r>
        <w:rPr>
          <w:rFonts w:hint="eastAsia"/>
          <w:szCs w:val="22"/>
        </w:rPr>
        <w:t>”</w:t>
      </w:r>
      <w:r w:rsidRPr="00094226">
        <w:rPr>
          <w:szCs w:val="22"/>
        </w:rPr>
        <w:t>，降低贸易门槛、提升贸易便利化水平，加快区域内经济一体化，通过改革来盘活存量，使得存量资产和传统产业隐性的价值显性化。</w:t>
      </w:r>
    </w:p>
    <w:tbl>
      <w:tblPr>
        <w:tblW w:w="5217" w:type="pct"/>
        <w:tblLayout w:type="fixed"/>
        <w:tblLook w:val="04A0" w:firstRow="1" w:lastRow="0" w:firstColumn="1" w:lastColumn="0" w:noHBand="0" w:noVBand="1"/>
      </w:tblPr>
      <w:tblGrid>
        <w:gridCol w:w="5165"/>
        <w:gridCol w:w="4822"/>
      </w:tblGrid>
      <w:tr w:rsidR="00486F91" w:rsidRPr="00094226" w:rsidTr="00A56527">
        <w:tc>
          <w:tcPr>
            <w:tcW w:w="2586" w:type="pct"/>
            <w:shd w:val="clear" w:color="auto" w:fill="auto"/>
          </w:tcPr>
          <w:p w:rsidR="00486F91" w:rsidRPr="00094226" w:rsidRDefault="00486F91" w:rsidP="00486F91">
            <w:pPr>
              <w:spacing w:beforeLines="50" w:before="156"/>
              <w:jc w:val="center"/>
              <w:rPr>
                <w:rFonts w:eastAsia="黑体"/>
                <w:b/>
                <w:sz w:val="20"/>
                <w:szCs w:val="20"/>
              </w:rPr>
            </w:pPr>
            <w:r w:rsidRPr="00094226">
              <w:rPr>
                <w:rFonts w:eastAsia="黑体"/>
                <w:b/>
                <w:sz w:val="20"/>
                <w:szCs w:val="20"/>
              </w:rPr>
              <w:t>图</w:t>
            </w:r>
            <w:r w:rsidRPr="00094226">
              <w:rPr>
                <w:rFonts w:eastAsia="黑体"/>
                <w:b/>
                <w:sz w:val="20"/>
                <w:szCs w:val="20"/>
              </w:rPr>
              <w:t>1</w:t>
            </w:r>
            <w:r w:rsidRPr="00094226">
              <w:rPr>
                <w:rFonts w:eastAsia="黑体"/>
                <w:b/>
                <w:sz w:val="20"/>
                <w:szCs w:val="20"/>
              </w:rPr>
              <w:t>：</w:t>
            </w:r>
            <w:r w:rsidRPr="00094226">
              <w:rPr>
                <w:rFonts w:eastAsia="黑体"/>
                <w:b/>
                <w:sz w:val="20"/>
                <w:szCs w:val="20"/>
              </w:rPr>
              <w:t>2008</w:t>
            </w:r>
            <w:r w:rsidRPr="00094226">
              <w:rPr>
                <w:rFonts w:eastAsia="黑体"/>
                <w:b/>
                <w:sz w:val="20"/>
                <w:szCs w:val="20"/>
              </w:rPr>
              <w:t>年以来</w:t>
            </w:r>
            <w:r>
              <w:rPr>
                <w:rFonts w:eastAsia="黑体" w:hint="eastAsia"/>
                <w:b/>
                <w:sz w:val="20"/>
                <w:szCs w:val="20"/>
              </w:rPr>
              <w:t>“</w:t>
            </w:r>
            <w:r w:rsidRPr="00094226">
              <w:rPr>
                <w:rFonts w:eastAsia="黑体"/>
                <w:b/>
                <w:sz w:val="20"/>
                <w:szCs w:val="20"/>
              </w:rPr>
              <w:t>三驾马车</w:t>
            </w:r>
            <w:r>
              <w:rPr>
                <w:rFonts w:eastAsia="黑体" w:hint="eastAsia"/>
                <w:b/>
                <w:sz w:val="20"/>
                <w:szCs w:val="20"/>
              </w:rPr>
              <w:t>”</w:t>
            </w:r>
            <w:r w:rsidRPr="00094226">
              <w:rPr>
                <w:rFonts w:eastAsia="黑体"/>
                <w:b/>
                <w:sz w:val="20"/>
                <w:szCs w:val="20"/>
              </w:rPr>
              <w:t>对经济增长的拉动作用</w:t>
            </w:r>
          </w:p>
        </w:tc>
        <w:tc>
          <w:tcPr>
            <w:tcW w:w="2414" w:type="pct"/>
            <w:shd w:val="clear" w:color="auto" w:fill="auto"/>
          </w:tcPr>
          <w:p w:rsidR="00486F91" w:rsidRPr="00094226" w:rsidRDefault="00486F91" w:rsidP="00486F91">
            <w:pPr>
              <w:spacing w:beforeLines="50" w:before="156"/>
              <w:jc w:val="center"/>
              <w:rPr>
                <w:szCs w:val="22"/>
              </w:rPr>
            </w:pPr>
            <w:r w:rsidRPr="00094226">
              <w:rPr>
                <w:rFonts w:eastAsia="黑体"/>
                <w:b/>
                <w:sz w:val="20"/>
                <w:szCs w:val="20"/>
              </w:rPr>
              <w:t>图</w:t>
            </w:r>
            <w:r w:rsidRPr="00094226">
              <w:rPr>
                <w:rFonts w:eastAsia="黑体"/>
                <w:b/>
                <w:sz w:val="20"/>
                <w:szCs w:val="20"/>
              </w:rPr>
              <w:t>2</w:t>
            </w:r>
            <w:r w:rsidRPr="00094226">
              <w:rPr>
                <w:rFonts w:eastAsia="黑体"/>
                <w:b/>
                <w:sz w:val="20"/>
                <w:szCs w:val="20"/>
              </w:rPr>
              <w:t>：</w:t>
            </w:r>
            <w:r w:rsidRPr="00094226">
              <w:rPr>
                <w:rFonts w:eastAsia="黑体"/>
                <w:b/>
                <w:sz w:val="20"/>
                <w:szCs w:val="20"/>
              </w:rPr>
              <w:t>2008</w:t>
            </w:r>
            <w:r>
              <w:rPr>
                <w:rFonts w:eastAsia="黑体" w:hint="eastAsia"/>
                <w:b/>
                <w:sz w:val="20"/>
                <w:szCs w:val="20"/>
              </w:rPr>
              <w:t>年</w:t>
            </w:r>
            <w:r w:rsidRPr="00094226">
              <w:rPr>
                <w:rFonts w:eastAsia="黑体"/>
                <w:b/>
                <w:sz w:val="20"/>
                <w:szCs w:val="20"/>
              </w:rPr>
              <w:t>以来全国</w:t>
            </w:r>
            <w:r w:rsidRPr="00094226">
              <w:rPr>
                <w:rFonts w:eastAsia="黑体"/>
                <w:b/>
                <w:sz w:val="20"/>
                <w:szCs w:val="20"/>
              </w:rPr>
              <w:t>GDP</w:t>
            </w:r>
            <w:r w:rsidRPr="00094226">
              <w:rPr>
                <w:rFonts w:eastAsia="黑体"/>
                <w:b/>
                <w:sz w:val="20"/>
                <w:szCs w:val="20"/>
              </w:rPr>
              <w:t>和财政收入增速</w:t>
            </w:r>
          </w:p>
        </w:tc>
      </w:tr>
      <w:tr w:rsidR="00486F91" w:rsidRPr="00094226" w:rsidTr="00A56527">
        <w:tc>
          <w:tcPr>
            <w:tcW w:w="2586" w:type="pct"/>
            <w:shd w:val="clear" w:color="auto" w:fill="auto"/>
          </w:tcPr>
          <w:p w:rsidR="00486F91" w:rsidRPr="00094226" w:rsidRDefault="00486F91" w:rsidP="00A56527">
            <w:pPr>
              <w:spacing w:line="300" w:lineRule="auto"/>
              <w:rPr>
                <w:szCs w:val="22"/>
              </w:rPr>
            </w:pPr>
            <w:r>
              <w:rPr>
                <w:noProof/>
              </w:rPr>
              <w:drawing>
                <wp:inline distT="0" distB="0" distL="0" distR="0" wp14:anchorId="1E1D69DD" wp14:editId="6972F303">
                  <wp:extent cx="2828290" cy="2092960"/>
                  <wp:effectExtent l="0" t="0" r="0" b="2540"/>
                  <wp:docPr id="3" name="图表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tc>
        <w:tc>
          <w:tcPr>
            <w:tcW w:w="2414" w:type="pct"/>
            <w:shd w:val="clear" w:color="auto" w:fill="auto"/>
          </w:tcPr>
          <w:p w:rsidR="00486F91" w:rsidRPr="00094226" w:rsidRDefault="00486F91" w:rsidP="00A56527">
            <w:pPr>
              <w:spacing w:line="300" w:lineRule="auto"/>
              <w:rPr>
                <w:szCs w:val="22"/>
              </w:rPr>
            </w:pPr>
            <w:r w:rsidRPr="00954ED1">
              <w:rPr>
                <w:noProof/>
              </w:rPr>
              <w:drawing>
                <wp:inline distT="0" distB="0" distL="0" distR="0" wp14:anchorId="79E1AEFA" wp14:editId="62029472">
                  <wp:extent cx="3028950" cy="2038350"/>
                  <wp:effectExtent l="0" t="0" r="0" b="0"/>
                  <wp:docPr id="9" name="图表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tc>
      </w:tr>
      <w:tr w:rsidR="00486F91" w:rsidRPr="00094226" w:rsidTr="00A56527">
        <w:tc>
          <w:tcPr>
            <w:tcW w:w="2586" w:type="pct"/>
            <w:shd w:val="clear" w:color="auto" w:fill="auto"/>
          </w:tcPr>
          <w:p w:rsidR="00486F91" w:rsidRPr="00094226" w:rsidRDefault="00486F91" w:rsidP="00486F91">
            <w:pPr>
              <w:spacing w:afterLines="50" w:after="156" w:line="240" w:lineRule="exact"/>
              <w:rPr>
                <w:szCs w:val="22"/>
              </w:rPr>
            </w:pPr>
            <w:r w:rsidRPr="00094226">
              <w:rPr>
                <w:rFonts w:eastAsia="黑体"/>
                <w:sz w:val="15"/>
                <w:szCs w:val="15"/>
              </w:rPr>
              <w:t>数据来源：</w:t>
            </w:r>
            <w:r w:rsidRPr="00094226">
              <w:rPr>
                <w:rFonts w:eastAsia="黑体"/>
                <w:sz w:val="15"/>
                <w:szCs w:val="15"/>
              </w:rPr>
              <w:t>Wind</w:t>
            </w:r>
            <w:r w:rsidRPr="00094226">
              <w:rPr>
                <w:rFonts w:eastAsia="黑体"/>
                <w:sz w:val="15"/>
                <w:szCs w:val="15"/>
              </w:rPr>
              <w:t>资讯，中债资信整理</w:t>
            </w:r>
          </w:p>
        </w:tc>
        <w:tc>
          <w:tcPr>
            <w:tcW w:w="2414" w:type="pct"/>
            <w:shd w:val="clear" w:color="auto" w:fill="auto"/>
          </w:tcPr>
          <w:p w:rsidR="00486F91" w:rsidRPr="00094226" w:rsidRDefault="00486F91" w:rsidP="00486F91">
            <w:pPr>
              <w:spacing w:afterLines="50" w:after="156" w:line="240" w:lineRule="exact"/>
              <w:ind w:firstLineChars="38" w:firstLine="57"/>
              <w:rPr>
                <w:szCs w:val="22"/>
              </w:rPr>
            </w:pPr>
            <w:r w:rsidRPr="00094226">
              <w:rPr>
                <w:rFonts w:eastAsia="黑体"/>
                <w:sz w:val="15"/>
                <w:szCs w:val="15"/>
              </w:rPr>
              <w:t>数据来源：</w:t>
            </w:r>
            <w:r w:rsidRPr="00094226">
              <w:rPr>
                <w:rFonts w:eastAsia="黑体"/>
                <w:sz w:val="15"/>
                <w:szCs w:val="15"/>
              </w:rPr>
              <w:t>Wind</w:t>
            </w:r>
            <w:r w:rsidRPr="00094226">
              <w:rPr>
                <w:rFonts w:eastAsia="黑体"/>
                <w:sz w:val="15"/>
                <w:szCs w:val="15"/>
              </w:rPr>
              <w:t>资讯，中债资信整理</w:t>
            </w:r>
          </w:p>
        </w:tc>
      </w:tr>
    </w:tbl>
    <w:p w:rsidR="00486F91" w:rsidRPr="00094226" w:rsidRDefault="00486F91" w:rsidP="00486F91">
      <w:pPr>
        <w:spacing w:line="300" w:lineRule="auto"/>
        <w:ind w:firstLineChars="200" w:firstLine="422"/>
        <w:rPr>
          <w:szCs w:val="22"/>
        </w:rPr>
      </w:pPr>
      <w:r w:rsidRPr="00094226">
        <w:rPr>
          <w:b/>
          <w:szCs w:val="22"/>
        </w:rPr>
        <w:t>财政收入将保持中低速增长，地区间增速分化</w:t>
      </w:r>
      <w:r w:rsidRPr="00954ED1">
        <w:rPr>
          <w:b/>
          <w:szCs w:val="22"/>
        </w:rPr>
        <w:t>将趋于</w:t>
      </w:r>
      <w:r w:rsidRPr="00094226">
        <w:rPr>
          <w:b/>
          <w:szCs w:val="22"/>
        </w:rPr>
        <w:t>明显，土地出让收入波动加大。</w:t>
      </w:r>
      <w:r w:rsidRPr="00954ED1">
        <w:rPr>
          <w:szCs w:val="22"/>
        </w:rPr>
        <w:t>财政收入增速与宏观经济增速变动相关性较高，受中国宏观经济增长放缓的影响，近年财政收入增速呈现放缓</w:t>
      </w:r>
      <w:r w:rsidRPr="00954ED1">
        <w:rPr>
          <w:rFonts w:hint="eastAsia"/>
          <w:szCs w:val="22"/>
        </w:rPr>
        <w:t>趋势</w:t>
      </w:r>
      <w:r w:rsidRPr="00954ED1">
        <w:rPr>
          <w:szCs w:val="22"/>
        </w:rPr>
        <w:t>。</w:t>
      </w:r>
      <w:r w:rsidRPr="00954ED1">
        <w:rPr>
          <w:szCs w:val="22"/>
        </w:rPr>
        <w:lastRenderedPageBreak/>
        <w:t>201</w:t>
      </w:r>
      <w:r w:rsidRPr="00954ED1">
        <w:rPr>
          <w:rFonts w:hint="eastAsia"/>
          <w:szCs w:val="22"/>
        </w:rPr>
        <w:t>5</w:t>
      </w:r>
      <w:r w:rsidRPr="00954ED1">
        <w:rPr>
          <w:szCs w:val="22"/>
        </w:rPr>
        <w:t>年受</w:t>
      </w:r>
      <w:r w:rsidRPr="00954ED1">
        <w:rPr>
          <w:rFonts w:hint="eastAsia"/>
          <w:szCs w:val="22"/>
        </w:rPr>
        <w:t>大宗商品进口价格下跌、</w:t>
      </w:r>
      <w:r w:rsidRPr="00954ED1">
        <w:rPr>
          <w:szCs w:val="22"/>
        </w:rPr>
        <w:t>结构性减税政策</w:t>
      </w:r>
      <w:r w:rsidRPr="00954ED1">
        <w:rPr>
          <w:rFonts w:hint="eastAsia"/>
          <w:szCs w:val="22"/>
        </w:rPr>
        <w:t>等因素</w:t>
      </w:r>
      <w:r w:rsidRPr="00954ED1">
        <w:rPr>
          <w:szCs w:val="22"/>
        </w:rPr>
        <w:t>影响，全国一般公共预算收入</w:t>
      </w:r>
      <w:r w:rsidRPr="00954ED1">
        <w:rPr>
          <w:rFonts w:hint="eastAsia"/>
          <w:szCs w:val="22"/>
        </w:rPr>
        <w:t>增速下滑至</w:t>
      </w:r>
      <w:r w:rsidRPr="00954ED1">
        <w:rPr>
          <w:rFonts w:hint="eastAsia"/>
          <w:szCs w:val="22"/>
        </w:rPr>
        <w:t>5.8</w:t>
      </w:r>
      <w:r w:rsidRPr="00954ED1">
        <w:rPr>
          <w:szCs w:val="22"/>
        </w:rPr>
        <w:t>%</w:t>
      </w:r>
      <w:r w:rsidRPr="00954ED1">
        <w:rPr>
          <w:rFonts w:hint="eastAsia"/>
          <w:szCs w:val="22"/>
        </w:rPr>
        <w:t>（同口径），</w:t>
      </w:r>
      <w:r w:rsidRPr="00954ED1">
        <w:rPr>
          <w:szCs w:val="22"/>
        </w:rPr>
        <w:t>财政收入增速</w:t>
      </w:r>
      <w:r w:rsidRPr="00954ED1">
        <w:rPr>
          <w:rFonts w:hint="eastAsia"/>
          <w:szCs w:val="22"/>
        </w:rPr>
        <w:t>继续下探，较</w:t>
      </w:r>
      <w:r w:rsidRPr="00954ED1">
        <w:rPr>
          <w:rFonts w:hint="eastAsia"/>
          <w:szCs w:val="22"/>
        </w:rPr>
        <w:t>2014</w:t>
      </w:r>
      <w:r w:rsidRPr="00954ED1">
        <w:rPr>
          <w:rFonts w:hint="eastAsia"/>
          <w:szCs w:val="22"/>
        </w:rPr>
        <w:t>年同期</w:t>
      </w:r>
      <w:r w:rsidRPr="00954ED1">
        <w:rPr>
          <w:szCs w:val="22"/>
        </w:rPr>
        <w:t>回落</w:t>
      </w:r>
      <w:r w:rsidRPr="00954ED1">
        <w:rPr>
          <w:rFonts w:hint="eastAsia"/>
          <w:szCs w:val="22"/>
        </w:rPr>
        <w:t>2.8</w:t>
      </w:r>
      <w:r w:rsidR="00BE7DCD">
        <w:rPr>
          <w:rFonts w:hint="eastAsia"/>
          <w:szCs w:val="22"/>
        </w:rPr>
        <w:t>0</w:t>
      </w:r>
      <w:r w:rsidRPr="00954ED1">
        <w:rPr>
          <w:szCs w:val="22"/>
        </w:rPr>
        <w:t>个百分点。其中，中央一般公共预算收入</w:t>
      </w:r>
      <w:r w:rsidRPr="00954ED1">
        <w:rPr>
          <w:rFonts w:hint="eastAsia"/>
          <w:szCs w:val="22"/>
        </w:rPr>
        <w:t>同口径</w:t>
      </w:r>
      <w:r w:rsidRPr="00954ED1">
        <w:rPr>
          <w:szCs w:val="22"/>
        </w:rPr>
        <w:t>增长</w:t>
      </w:r>
      <w:r w:rsidRPr="00954ED1">
        <w:rPr>
          <w:rFonts w:hint="eastAsia"/>
          <w:szCs w:val="22"/>
        </w:rPr>
        <w:t>7.0</w:t>
      </w:r>
      <w:r w:rsidR="00BE7DCD">
        <w:rPr>
          <w:rFonts w:hint="eastAsia"/>
          <w:szCs w:val="22"/>
        </w:rPr>
        <w:t>0</w:t>
      </w:r>
      <w:r w:rsidRPr="00954ED1">
        <w:rPr>
          <w:szCs w:val="22"/>
        </w:rPr>
        <w:t>%</w:t>
      </w:r>
      <w:r w:rsidRPr="00954ED1">
        <w:rPr>
          <w:szCs w:val="22"/>
        </w:rPr>
        <w:t>，地方一般公共预算收入（本级）</w:t>
      </w:r>
      <w:r w:rsidRPr="00954ED1">
        <w:rPr>
          <w:rFonts w:hint="eastAsia"/>
          <w:szCs w:val="22"/>
        </w:rPr>
        <w:t>同口径</w:t>
      </w:r>
      <w:r w:rsidRPr="00954ED1">
        <w:rPr>
          <w:szCs w:val="22"/>
        </w:rPr>
        <w:t>增长</w:t>
      </w:r>
      <w:r w:rsidRPr="00954ED1">
        <w:rPr>
          <w:rFonts w:hint="eastAsia"/>
          <w:szCs w:val="22"/>
        </w:rPr>
        <w:t>4.8</w:t>
      </w:r>
      <w:r w:rsidR="00BE7DCD">
        <w:rPr>
          <w:rFonts w:hint="eastAsia"/>
          <w:szCs w:val="22"/>
        </w:rPr>
        <w:t>0</w:t>
      </w:r>
      <w:r w:rsidRPr="00954ED1">
        <w:rPr>
          <w:szCs w:val="22"/>
        </w:rPr>
        <w:t>%</w:t>
      </w:r>
      <w:r w:rsidRPr="00954ED1">
        <w:rPr>
          <w:rFonts w:hint="eastAsia"/>
          <w:szCs w:val="21"/>
        </w:rPr>
        <w:t>。</w:t>
      </w:r>
      <w:r w:rsidRPr="00954ED1">
        <w:rPr>
          <w:szCs w:val="22"/>
        </w:rPr>
        <w:t>同时，政府性基金收入中土地出让收入</w:t>
      </w:r>
      <w:proofErr w:type="gramStart"/>
      <w:r w:rsidRPr="00954ED1">
        <w:rPr>
          <w:szCs w:val="22"/>
        </w:rPr>
        <w:t>占比较</w:t>
      </w:r>
      <w:proofErr w:type="gramEnd"/>
      <w:r w:rsidRPr="00954ED1">
        <w:rPr>
          <w:szCs w:val="22"/>
        </w:rPr>
        <w:t>高，近年来波动较大。</w:t>
      </w:r>
      <w:r w:rsidRPr="00954ED1">
        <w:rPr>
          <w:szCs w:val="22"/>
        </w:rPr>
        <w:t>201</w:t>
      </w:r>
      <w:r w:rsidRPr="00954ED1">
        <w:rPr>
          <w:rFonts w:hint="eastAsia"/>
          <w:szCs w:val="22"/>
        </w:rPr>
        <w:t>2</w:t>
      </w:r>
      <w:r w:rsidRPr="00954ED1">
        <w:rPr>
          <w:szCs w:val="22"/>
        </w:rPr>
        <w:t>~201</w:t>
      </w:r>
      <w:r w:rsidRPr="00954ED1">
        <w:rPr>
          <w:rFonts w:hint="eastAsia"/>
          <w:szCs w:val="22"/>
        </w:rPr>
        <w:t>4</w:t>
      </w:r>
      <w:r w:rsidRPr="00954ED1">
        <w:rPr>
          <w:szCs w:val="22"/>
        </w:rPr>
        <w:t>年，全国土地使用权出让金收入分别为</w:t>
      </w:r>
      <w:r w:rsidRPr="00954ED1">
        <w:rPr>
          <w:szCs w:val="22"/>
        </w:rPr>
        <w:t>2.</w:t>
      </w:r>
      <w:r w:rsidRPr="00954ED1">
        <w:rPr>
          <w:rFonts w:hint="eastAsia"/>
          <w:szCs w:val="22"/>
        </w:rPr>
        <w:t>85</w:t>
      </w:r>
      <w:proofErr w:type="gramStart"/>
      <w:r w:rsidRPr="00954ED1">
        <w:rPr>
          <w:szCs w:val="22"/>
        </w:rPr>
        <w:t>万亿</w:t>
      </w:r>
      <w:proofErr w:type="gramEnd"/>
      <w:r w:rsidRPr="00954ED1">
        <w:rPr>
          <w:szCs w:val="22"/>
        </w:rPr>
        <w:t>元</w:t>
      </w:r>
      <w:r w:rsidRPr="00954ED1">
        <w:rPr>
          <w:rFonts w:hint="eastAsia"/>
          <w:szCs w:val="22"/>
        </w:rPr>
        <w:t>、</w:t>
      </w:r>
      <w:r w:rsidRPr="00954ED1">
        <w:rPr>
          <w:rFonts w:hint="eastAsia"/>
          <w:szCs w:val="22"/>
        </w:rPr>
        <w:t>4.13</w:t>
      </w:r>
      <w:proofErr w:type="gramStart"/>
      <w:r w:rsidRPr="00954ED1">
        <w:rPr>
          <w:szCs w:val="22"/>
        </w:rPr>
        <w:t>万亿</w:t>
      </w:r>
      <w:proofErr w:type="gramEnd"/>
      <w:r w:rsidRPr="00954ED1">
        <w:rPr>
          <w:szCs w:val="22"/>
        </w:rPr>
        <w:t>元</w:t>
      </w:r>
      <w:r w:rsidRPr="00954ED1">
        <w:rPr>
          <w:rFonts w:hint="eastAsia"/>
          <w:szCs w:val="22"/>
        </w:rPr>
        <w:t>和</w:t>
      </w:r>
      <w:r w:rsidRPr="00954ED1">
        <w:rPr>
          <w:rFonts w:hint="eastAsia"/>
          <w:szCs w:val="22"/>
        </w:rPr>
        <w:t>4.26</w:t>
      </w:r>
      <w:proofErr w:type="gramStart"/>
      <w:r w:rsidRPr="00954ED1">
        <w:rPr>
          <w:rFonts w:hint="eastAsia"/>
          <w:szCs w:val="22"/>
        </w:rPr>
        <w:t>万亿</w:t>
      </w:r>
      <w:proofErr w:type="gramEnd"/>
      <w:r w:rsidRPr="00954ED1">
        <w:rPr>
          <w:rFonts w:hint="eastAsia"/>
          <w:szCs w:val="22"/>
        </w:rPr>
        <w:t>元</w:t>
      </w:r>
      <w:r w:rsidRPr="00954ED1">
        <w:rPr>
          <w:szCs w:val="22"/>
          <w:vertAlign w:val="superscript"/>
        </w:rPr>
        <w:footnoteReference w:id="1"/>
      </w:r>
      <w:r w:rsidRPr="00954ED1">
        <w:rPr>
          <w:szCs w:val="22"/>
        </w:rPr>
        <w:t>，增速分别为</w:t>
      </w:r>
      <w:r w:rsidRPr="00954ED1">
        <w:rPr>
          <w:szCs w:val="22"/>
        </w:rPr>
        <w:t>-14</w:t>
      </w:r>
      <w:r w:rsidRPr="00954ED1">
        <w:rPr>
          <w:rFonts w:hint="eastAsia"/>
          <w:szCs w:val="22"/>
        </w:rPr>
        <w:t>.0</w:t>
      </w:r>
      <w:r w:rsidR="00BE7DCD">
        <w:rPr>
          <w:rFonts w:hint="eastAsia"/>
          <w:szCs w:val="22"/>
        </w:rPr>
        <w:t>0</w:t>
      </w:r>
      <w:r w:rsidRPr="00954ED1">
        <w:rPr>
          <w:szCs w:val="22"/>
        </w:rPr>
        <w:t>%</w:t>
      </w:r>
      <w:r w:rsidRPr="00954ED1">
        <w:rPr>
          <w:rFonts w:hint="eastAsia"/>
          <w:szCs w:val="22"/>
        </w:rPr>
        <w:t>、</w:t>
      </w:r>
      <w:r w:rsidRPr="00954ED1">
        <w:rPr>
          <w:szCs w:val="22"/>
        </w:rPr>
        <w:t>4</w:t>
      </w:r>
      <w:r w:rsidRPr="00954ED1">
        <w:rPr>
          <w:rFonts w:hint="eastAsia"/>
          <w:szCs w:val="22"/>
        </w:rPr>
        <w:t>4.6</w:t>
      </w:r>
      <w:r w:rsidR="00BE7DCD">
        <w:rPr>
          <w:rFonts w:hint="eastAsia"/>
          <w:szCs w:val="22"/>
        </w:rPr>
        <w:t>0</w:t>
      </w:r>
      <w:r w:rsidRPr="00954ED1">
        <w:rPr>
          <w:szCs w:val="22"/>
        </w:rPr>
        <w:t>%</w:t>
      </w:r>
      <w:r w:rsidRPr="00954ED1">
        <w:rPr>
          <w:rFonts w:hint="eastAsia"/>
          <w:szCs w:val="22"/>
        </w:rPr>
        <w:t>和</w:t>
      </w:r>
      <w:r w:rsidRPr="00954ED1">
        <w:rPr>
          <w:rFonts w:hint="eastAsia"/>
          <w:szCs w:val="22"/>
        </w:rPr>
        <w:t>3.2</w:t>
      </w:r>
      <w:r w:rsidR="00BE7DCD">
        <w:rPr>
          <w:rFonts w:hint="eastAsia"/>
          <w:szCs w:val="22"/>
        </w:rPr>
        <w:t>0</w:t>
      </w:r>
      <w:r w:rsidRPr="00954ED1">
        <w:rPr>
          <w:rFonts w:hint="eastAsia"/>
          <w:szCs w:val="22"/>
        </w:rPr>
        <w:t>%</w:t>
      </w:r>
      <w:r w:rsidRPr="00954ED1">
        <w:rPr>
          <w:szCs w:val="22"/>
        </w:rPr>
        <w:t>。</w:t>
      </w:r>
      <w:r w:rsidRPr="00954ED1">
        <w:rPr>
          <w:rFonts w:hint="eastAsia"/>
          <w:szCs w:val="22"/>
        </w:rPr>
        <w:t>2015</w:t>
      </w:r>
      <w:r w:rsidRPr="00954ED1">
        <w:rPr>
          <w:rFonts w:hint="eastAsia"/>
          <w:szCs w:val="22"/>
        </w:rPr>
        <w:t>年国有土地使用权出让收入</w:t>
      </w:r>
      <w:r w:rsidRPr="00954ED1">
        <w:rPr>
          <w:rFonts w:hint="eastAsia"/>
          <w:szCs w:val="22"/>
        </w:rPr>
        <w:t>3.25</w:t>
      </w:r>
      <w:proofErr w:type="gramStart"/>
      <w:r w:rsidRPr="00954ED1">
        <w:rPr>
          <w:rFonts w:hint="eastAsia"/>
          <w:szCs w:val="22"/>
        </w:rPr>
        <w:t>万亿</w:t>
      </w:r>
      <w:proofErr w:type="gramEnd"/>
      <w:r w:rsidRPr="00954ED1">
        <w:rPr>
          <w:rFonts w:hint="eastAsia"/>
          <w:szCs w:val="22"/>
        </w:rPr>
        <w:t>元，同比下降</w:t>
      </w:r>
      <w:r w:rsidRPr="00954ED1">
        <w:rPr>
          <w:rFonts w:hint="eastAsia"/>
          <w:szCs w:val="22"/>
        </w:rPr>
        <w:t>21.4</w:t>
      </w:r>
      <w:r w:rsidR="00BE7DCD">
        <w:rPr>
          <w:rFonts w:hint="eastAsia"/>
          <w:szCs w:val="22"/>
        </w:rPr>
        <w:t>0</w:t>
      </w:r>
      <w:r w:rsidRPr="00954ED1">
        <w:rPr>
          <w:rFonts w:hint="eastAsia"/>
          <w:szCs w:val="22"/>
        </w:rPr>
        <w:t>%</w:t>
      </w:r>
      <w:r w:rsidRPr="00954ED1">
        <w:rPr>
          <w:rFonts w:hint="eastAsia"/>
          <w:szCs w:val="22"/>
        </w:rPr>
        <w:t>。</w:t>
      </w:r>
      <w:r w:rsidRPr="00954ED1">
        <w:rPr>
          <w:szCs w:val="22"/>
        </w:rPr>
        <w:t>短期看，</w:t>
      </w:r>
      <w:r w:rsidRPr="00954ED1">
        <w:rPr>
          <w:rFonts w:hint="eastAsia"/>
          <w:szCs w:val="22"/>
        </w:rPr>
        <w:t>去库存政策有望支撑短期销售回暖，但</w:t>
      </w:r>
      <w:r w:rsidRPr="00954ED1">
        <w:rPr>
          <w:szCs w:val="22"/>
        </w:rPr>
        <w:t>长期看，随着</w:t>
      </w:r>
      <w:r w:rsidRPr="00954ED1">
        <w:rPr>
          <w:szCs w:val="22"/>
        </w:rPr>
        <w:t>2013</w:t>
      </w:r>
      <w:r w:rsidRPr="00954ED1">
        <w:rPr>
          <w:szCs w:val="22"/>
        </w:rPr>
        <w:t>年以来我国适龄购房人口数量逐步见顶，未来我国购房需求量亦将</w:t>
      </w:r>
      <w:r w:rsidRPr="00954ED1">
        <w:rPr>
          <w:rFonts w:hint="eastAsia"/>
          <w:szCs w:val="22"/>
        </w:rPr>
        <w:t>放缓</w:t>
      </w:r>
      <w:r w:rsidRPr="00954ED1">
        <w:rPr>
          <w:szCs w:val="22"/>
        </w:rPr>
        <w:t>，土地出让市场收缩的趋势将不可避免，土地出让收入波动将加大。由于区域经济发展水平不一和财政收入结构存在差异，不同地区经济和财政收入增速也存在分化。以周期性行业为主地区受宏观经济周期影响较大，比如以钢铁、煤炭、有色金属、化工、水泥、工程机械、装备制造等周期性行业为支柱产业的地区，近期其地区经济和财政收入增速大幅放缓。对土地依赖较大的东部省份，由于土地出让收入波动较大，未来其综合财力</w:t>
      </w:r>
      <w:r w:rsidRPr="00954ED1">
        <w:rPr>
          <w:rFonts w:hint="eastAsia"/>
          <w:szCs w:val="22"/>
        </w:rPr>
        <w:t>也将</w:t>
      </w:r>
      <w:r w:rsidRPr="00954ED1">
        <w:rPr>
          <w:szCs w:val="22"/>
        </w:rPr>
        <w:t>呈现波动</w:t>
      </w:r>
      <w:r w:rsidRPr="00094226">
        <w:rPr>
          <w:szCs w:val="22"/>
        </w:rPr>
        <w:t>。</w:t>
      </w:r>
    </w:p>
    <w:p w:rsidR="00486F91" w:rsidRDefault="00486F91" w:rsidP="00486F91">
      <w:pPr>
        <w:widowControl/>
        <w:tabs>
          <w:tab w:val="num" w:pos="426"/>
        </w:tabs>
        <w:spacing w:beforeLines="50" w:before="156" w:line="300" w:lineRule="auto"/>
        <w:ind w:firstLine="437"/>
        <w:jc w:val="center"/>
        <w:rPr>
          <w:rFonts w:eastAsia="黑体"/>
          <w:b/>
          <w:sz w:val="20"/>
          <w:szCs w:val="20"/>
        </w:rPr>
      </w:pPr>
      <w:r w:rsidRPr="00094226">
        <w:rPr>
          <w:rFonts w:eastAsia="黑体"/>
          <w:b/>
          <w:sz w:val="20"/>
          <w:szCs w:val="20"/>
        </w:rPr>
        <w:t>表</w:t>
      </w:r>
      <w:r w:rsidRPr="00094226">
        <w:rPr>
          <w:rFonts w:eastAsia="黑体"/>
          <w:b/>
          <w:sz w:val="20"/>
          <w:szCs w:val="20"/>
        </w:rPr>
        <w:t>1</w:t>
      </w:r>
      <w:r w:rsidRPr="00094226">
        <w:rPr>
          <w:rFonts w:eastAsia="黑体"/>
          <w:b/>
          <w:sz w:val="20"/>
          <w:szCs w:val="20"/>
        </w:rPr>
        <w:t>：近期中央出台的与宏观经济调控和政府债务管理相关的政策文件</w:t>
      </w:r>
    </w:p>
    <w:tbl>
      <w:tblPr>
        <w:tblW w:w="9499" w:type="dxa"/>
        <w:jc w:val="center"/>
        <w:tblBorders>
          <w:top w:val="single" w:sz="4" w:space="0" w:color="auto"/>
          <w:bottom w:val="single" w:sz="4" w:space="0" w:color="auto"/>
        </w:tblBorders>
        <w:tblLook w:val="04A0" w:firstRow="1" w:lastRow="0" w:firstColumn="1" w:lastColumn="0" w:noHBand="0" w:noVBand="1"/>
      </w:tblPr>
      <w:tblGrid>
        <w:gridCol w:w="2834"/>
        <w:gridCol w:w="6665"/>
      </w:tblGrid>
      <w:tr w:rsidR="00486F91" w:rsidRPr="00954ED1" w:rsidTr="00A56527">
        <w:trPr>
          <w:trHeight w:val="340"/>
          <w:tblHeader/>
          <w:jc w:val="center"/>
        </w:trPr>
        <w:tc>
          <w:tcPr>
            <w:tcW w:w="2834" w:type="dxa"/>
            <w:shd w:val="clear" w:color="auto" w:fill="0070C0"/>
            <w:noWrap/>
          </w:tcPr>
          <w:p w:rsidR="00486F91" w:rsidRPr="00954ED1" w:rsidRDefault="00486F91" w:rsidP="00A56527">
            <w:pPr>
              <w:widowControl/>
              <w:tabs>
                <w:tab w:val="num" w:pos="426"/>
              </w:tabs>
              <w:jc w:val="center"/>
              <w:rPr>
                <w:b/>
                <w:color w:val="FFFFFF"/>
                <w:sz w:val="18"/>
                <w:szCs w:val="18"/>
              </w:rPr>
            </w:pPr>
            <w:r w:rsidRPr="00954ED1">
              <w:rPr>
                <w:b/>
                <w:color w:val="FFFFFF"/>
                <w:sz w:val="18"/>
                <w:szCs w:val="18"/>
              </w:rPr>
              <w:t>会议及政策名称</w:t>
            </w:r>
          </w:p>
        </w:tc>
        <w:tc>
          <w:tcPr>
            <w:tcW w:w="6665" w:type="dxa"/>
            <w:shd w:val="clear" w:color="auto" w:fill="0070C0"/>
            <w:noWrap/>
          </w:tcPr>
          <w:p w:rsidR="00486F91" w:rsidRPr="00954ED1" w:rsidRDefault="00486F91" w:rsidP="00A56527">
            <w:pPr>
              <w:widowControl/>
              <w:tabs>
                <w:tab w:val="num" w:pos="426"/>
              </w:tabs>
              <w:ind w:firstLine="437"/>
              <w:jc w:val="center"/>
              <w:rPr>
                <w:b/>
                <w:color w:val="FFFFFF"/>
                <w:sz w:val="18"/>
                <w:szCs w:val="18"/>
              </w:rPr>
            </w:pPr>
            <w:r w:rsidRPr="00954ED1">
              <w:rPr>
                <w:b/>
                <w:color w:val="FFFFFF"/>
                <w:sz w:val="18"/>
                <w:szCs w:val="18"/>
              </w:rPr>
              <w:t>相关宏观经济调控、债务管理等内容</w:t>
            </w:r>
          </w:p>
        </w:tc>
      </w:tr>
      <w:tr w:rsidR="00486F91" w:rsidRPr="00954ED1" w:rsidTr="00A56527">
        <w:trPr>
          <w:trHeight w:val="561"/>
          <w:jc w:val="center"/>
        </w:trPr>
        <w:tc>
          <w:tcPr>
            <w:tcW w:w="2834" w:type="dxa"/>
            <w:shd w:val="clear" w:color="auto" w:fill="auto"/>
            <w:noWrap/>
            <w:vAlign w:val="center"/>
          </w:tcPr>
          <w:p w:rsidR="00486F91" w:rsidRPr="00954ED1" w:rsidRDefault="00486F91" w:rsidP="00A56527">
            <w:pPr>
              <w:widowControl/>
              <w:tabs>
                <w:tab w:val="num" w:pos="426"/>
              </w:tabs>
              <w:rPr>
                <w:sz w:val="18"/>
                <w:szCs w:val="18"/>
              </w:rPr>
            </w:pPr>
            <w:r w:rsidRPr="00954ED1">
              <w:rPr>
                <w:sz w:val="18"/>
                <w:szCs w:val="18"/>
              </w:rPr>
              <w:t>《推动共建丝绸之路经济带和</w:t>
            </w:r>
            <w:r w:rsidRPr="00954ED1">
              <w:rPr>
                <w:sz w:val="18"/>
                <w:szCs w:val="18"/>
              </w:rPr>
              <w:t>21</w:t>
            </w:r>
            <w:r w:rsidRPr="00954ED1">
              <w:rPr>
                <w:sz w:val="18"/>
                <w:szCs w:val="18"/>
              </w:rPr>
              <w:t>世纪海上丝绸之路的愿景与行动》</w:t>
            </w:r>
          </w:p>
        </w:tc>
        <w:tc>
          <w:tcPr>
            <w:tcW w:w="6665" w:type="dxa"/>
            <w:shd w:val="clear" w:color="auto" w:fill="auto"/>
            <w:noWrap/>
            <w:vAlign w:val="center"/>
          </w:tcPr>
          <w:p w:rsidR="00486F91" w:rsidRPr="00954ED1" w:rsidRDefault="00486F91" w:rsidP="00A56527">
            <w:pPr>
              <w:widowControl/>
              <w:tabs>
                <w:tab w:val="num" w:pos="426"/>
              </w:tabs>
              <w:rPr>
                <w:sz w:val="18"/>
                <w:szCs w:val="18"/>
              </w:rPr>
            </w:pPr>
            <w:r w:rsidRPr="00954ED1">
              <w:rPr>
                <w:sz w:val="18"/>
                <w:szCs w:val="18"/>
              </w:rPr>
              <w:t>中国将充分发挥国内各地区比较优势，以政策沟通、设施联通、贸易畅通、资金融通、民心相通为主要内容和合作重点，实行更加积极主动的开放战略，加强东中西互动合作，全面提升开放型经济水平，深度融入世界经济体系；建设</w:t>
            </w:r>
            <w:proofErr w:type="gramStart"/>
            <w:r w:rsidRPr="00954ED1">
              <w:rPr>
                <w:sz w:val="18"/>
                <w:szCs w:val="18"/>
              </w:rPr>
              <w:t>亚欧非</w:t>
            </w:r>
            <w:proofErr w:type="gramEnd"/>
            <w:r w:rsidRPr="00954ED1">
              <w:rPr>
                <w:sz w:val="18"/>
                <w:szCs w:val="18"/>
              </w:rPr>
              <w:t>大陆及附近海洋沿线国家全方位、多层次、复合型的互联互通网络</w:t>
            </w:r>
          </w:p>
        </w:tc>
      </w:tr>
      <w:tr w:rsidR="00486F91" w:rsidRPr="00954ED1" w:rsidTr="00A56527">
        <w:trPr>
          <w:trHeight w:val="561"/>
          <w:jc w:val="center"/>
        </w:trPr>
        <w:tc>
          <w:tcPr>
            <w:tcW w:w="2834" w:type="dxa"/>
            <w:shd w:val="clear" w:color="auto" w:fill="D3EDFB"/>
            <w:noWrap/>
            <w:vAlign w:val="center"/>
          </w:tcPr>
          <w:p w:rsidR="00486F91" w:rsidRPr="00954ED1" w:rsidRDefault="00486F91" w:rsidP="00A56527">
            <w:pPr>
              <w:widowControl/>
              <w:tabs>
                <w:tab w:val="num" w:pos="426"/>
              </w:tabs>
              <w:rPr>
                <w:sz w:val="18"/>
                <w:szCs w:val="18"/>
              </w:rPr>
            </w:pPr>
            <w:r w:rsidRPr="00954ED1">
              <w:rPr>
                <w:sz w:val="18"/>
                <w:szCs w:val="18"/>
              </w:rPr>
              <w:t>2014</w:t>
            </w:r>
            <w:r w:rsidRPr="00954ED1">
              <w:rPr>
                <w:sz w:val="18"/>
                <w:szCs w:val="18"/>
              </w:rPr>
              <w:t>年</w:t>
            </w:r>
            <w:r w:rsidRPr="00954ED1">
              <w:rPr>
                <w:sz w:val="18"/>
                <w:szCs w:val="18"/>
              </w:rPr>
              <w:t>12</w:t>
            </w:r>
            <w:r w:rsidRPr="00954ED1">
              <w:rPr>
                <w:sz w:val="18"/>
                <w:szCs w:val="18"/>
              </w:rPr>
              <w:t>月</w:t>
            </w:r>
            <w:r w:rsidRPr="00954ED1">
              <w:rPr>
                <w:sz w:val="18"/>
                <w:szCs w:val="18"/>
              </w:rPr>
              <w:t>12</w:t>
            </w:r>
            <w:r w:rsidRPr="00954ED1">
              <w:rPr>
                <w:sz w:val="18"/>
                <w:szCs w:val="18"/>
              </w:rPr>
              <w:t>日国务院常务会议</w:t>
            </w:r>
          </w:p>
        </w:tc>
        <w:tc>
          <w:tcPr>
            <w:tcW w:w="6665" w:type="dxa"/>
            <w:shd w:val="clear" w:color="auto" w:fill="D3EDFB"/>
            <w:noWrap/>
            <w:vAlign w:val="center"/>
          </w:tcPr>
          <w:p w:rsidR="00486F91" w:rsidRPr="00954ED1" w:rsidRDefault="00486F91" w:rsidP="00A56527">
            <w:pPr>
              <w:widowControl/>
              <w:tabs>
                <w:tab w:val="num" w:pos="426"/>
              </w:tabs>
              <w:rPr>
                <w:sz w:val="18"/>
                <w:szCs w:val="18"/>
              </w:rPr>
            </w:pPr>
            <w:r w:rsidRPr="00954ED1">
              <w:rPr>
                <w:sz w:val="18"/>
                <w:szCs w:val="18"/>
              </w:rPr>
              <w:t>依托现有新区、园区，在广东、天津、福建特定区域再设三个自由贸易园区，以上海自贸试验区试点内容为主体，结合地方特点，充实新的试点内容</w:t>
            </w:r>
          </w:p>
        </w:tc>
      </w:tr>
      <w:tr w:rsidR="00486F91" w:rsidRPr="00954ED1" w:rsidTr="00A56527">
        <w:trPr>
          <w:trHeight w:val="561"/>
          <w:jc w:val="center"/>
        </w:trPr>
        <w:tc>
          <w:tcPr>
            <w:tcW w:w="2834" w:type="dxa"/>
            <w:shd w:val="clear" w:color="auto" w:fill="auto"/>
            <w:noWrap/>
            <w:vAlign w:val="center"/>
          </w:tcPr>
          <w:p w:rsidR="00486F91" w:rsidRPr="00954ED1" w:rsidRDefault="00486F91" w:rsidP="00A56527">
            <w:pPr>
              <w:widowControl/>
              <w:tabs>
                <w:tab w:val="num" w:pos="426"/>
              </w:tabs>
              <w:rPr>
                <w:sz w:val="18"/>
                <w:szCs w:val="18"/>
              </w:rPr>
            </w:pPr>
            <w:r w:rsidRPr="00954ED1">
              <w:rPr>
                <w:sz w:val="18"/>
                <w:szCs w:val="18"/>
              </w:rPr>
              <w:t>《预算法修正案》通过</w:t>
            </w:r>
          </w:p>
        </w:tc>
        <w:tc>
          <w:tcPr>
            <w:tcW w:w="6665" w:type="dxa"/>
            <w:shd w:val="clear" w:color="auto" w:fill="auto"/>
            <w:noWrap/>
            <w:vAlign w:val="center"/>
          </w:tcPr>
          <w:p w:rsidR="00486F91" w:rsidRPr="00954ED1" w:rsidRDefault="00486F91" w:rsidP="00A56527">
            <w:pPr>
              <w:widowControl/>
              <w:tabs>
                <w:tab w:val="num" w:pos="426"/>
              </w:tabs>
              <w:rPr>
                <w:sz w:val="18"/>
                <w:szCs w:val="18"/>
              </w:rPr>
            </w:pPr>
            <w:r w:rsidRPr="00954ED1">
              <w:rPr>
                <w:sz w:val="18"/>
                <w:szCs w:val="18"/>
              </w:rPr>
              <w:t>经国务院批准的省、自治区、直辖市的预算中必需的建设投资的部分资金，可以在国务院确定的限额内，通过发行地方政府债券举借债务的方式筹措。债务应当有偿还计划和稳定的偿还资金来源，只能用于公益性资本支出，不得用于经常性支出</w:t>
            </w:r>
          </w:p>
        </w:tc>
      </w:tr>
      <w:tr w:rsidR="00486F91" w:rsidRPr="00954ED1" w:rsidTr="00A56527">
        <w:trPr>
          <w:trHeight w:val="340"/>
          <w:jc w:val="center"/>
        </w:trPr>
        <w:tc>
          <w:tcPr>
            <w:tcW w:w="2834" w:type="dxa"/>
            <w:shd w:val="clear" w:color="auto" w:fill="D3EDFB"/>
            <w:noWrap/>
            <w:vAlign w:val="center"/>
          </w:tcPr>
          <w:p w:rsidR="00486F91" w:rsidRPr="00954ED1" w:rsidRDefault="00486F91" w:rsidP="00A56527">
            <w:pPr>
              <w:widowControl/>
              <w:tabs>
                <w:tab w:val="num" w:pos="426"/>
              </w:tabs>
              <w:rPr>
                <w:sz w:val="18"/>
                <w:szCs w:val="18"/>
              </w:rPr>
            </w:pPr>
            <w:r w:rsidRPr="00954ED1">
              <w:rPr>
                <w:sz w:val="18"/>
                <w:szCs w:val="18"/>
              </w:rPr>
              <w:t>《国务院关于加强地方政府性债务管理意见》</w:t>
            </w:r>
          </w:p>
        </w:tc>
        <w:tc>
          <w:tcPr>
            <w:tcW w:w="6665" w:type="dxa"/>
            <w:shd w:val="clear" w:color="auto" w:fill="D3EDFB"/>
            <w:noWrap/>
            <w:vAlign w:val="center"/>
          </w:tcPr>
          <w:p w:rsidR="00486F91" w:rsidRPr="00954ED1" w:rsidRDefault="00486F91" w:rsidP="00A56527">
            <w:pPr>
              <w:widowControl/>
              <w:tabs>
                <w:tab w:val="num" w:pos="426"/>
              </w:tabs>
              <w:jc w:val="left"/>
              <w:rPr>
                <w:sz w:val="18"/>
                <w:szCs w:val="18"/>
              </w:rPr>
            </w:pPr>
            <w:r w:rsidRPr="00954ED1">
              <w:rPr>
                <w:sz w:val="18"/>
                <w:szCs w:val="18"/>
              </w:rPr>
              <w:t>建立借、用、还相统一的地方政府债务管理机制，赋予地方政府依法适度举债融资权限，建立规范的地方政府举债融资机制；实行规模控制和预算管理；控制和化解地方政府债务风险；妥善处理存量债务和在建项目后续融资，剥离融资平台政府融资职能</w:t>
            </w:r>
          </w:p>
        </w:tc>
      </w:tr>
      <w:tr w:rsidR="00486F91" w:rsidRPr="00954ED1" w:rsidTr="00A56527">
        <w:trPr>
          <w:trHeight w:val="340"/>
          <w:jc w:val="center"/>
        </w:trPr>
        <w:tc>
          <w:tcPr>
            <w:tcW w:w="2834" w:type="dxa"/>
            <w:shd w:val="clear" w:color="auto" w:fill="auto"/>
            <w:noWrap/>
            <w:vAlign w:val="center"/>
          </w:tcPr>
          <w:p w:rsidR="00486F91" w:rsidRPr="00954ED1" w:rsidRDefault="00486F91" w:rsidP="00A56527">
            <w:pPr>
              <w:widowControl/>
              <w:tabs>
                <w:tab w:val="num" w:pos="426"/>
              </w:tabs>
              <w:rPr>
                <w:sz w:val="18"/>
                <w:szCs w:val="18"/>
              </w:rPr>
            </w:pPr>
            <w:r w:rsidRPr="00954ED1">
              <w:rPr>
                <w:sz w:val="18"/>
                <w:szCs w:val="18"/>
              </w:rPr>
              <w:t>《国务院关于深化预算管理制度改革的决定》</w:t>
            </w:r>
          </w:p>
        </w:tc>
        <w:tc>
          <w:tcPr>
            <w:tcW w:w="6665" w:type="dxa"/>
            <w:shd w:val="clear" w:color="auto" w:fill="auto"/>
            <w:noWrap/>
            <w:vAlign w:val="center"/>
          </w:tcPr>
          <w:p w:rsidR="00486F91" w:rsidRPr="00954ED1" w:rsidRDefault="00486F91" w:rsidP="00A56527">
            <w:pPr>
              <w:widowControl/>
              <w:tabs>
                <w:tab w:val="num" w:pos="426"/>
              </w:tabs>
              <w:rPr>
                <w:sz w:val="18"/>
                <w:szCs w:val="18"/>
              </w:rPr>
            </w:pPr>
            <w:r w:rsidRPr="00954ED1">
              <w:rPr>
                <w:sz w:val="18"/>
                <w:szCs w:val="18"/>
              </w:rPr>
              <w:t>积极推进预算公开，建立跨年度预算平衡机制；加强预算收入管理；优化财政支出结构，加强结转结余资金管理；规范地方政府债务管理，防范化解财政风险</w:t>
            </w:r>
          </w:p>
        </w:tc>
      </w:tr>
      <w:tr w:rsidR="00486F91" w:rsidRPr="00954ED1" w:rsidTr="00A56527">
        <w:trPr>
          <w:trHeight w:val="340"/>
          <w:jc w:val="center"/>
        </w:trPr>
        <w:tc>
          <w:tcPr>
            <w:tcW w:w="2834" w:type="dxa"/>
            <w:shd w:val="clear" w:color="auto" w:fill="D3EDFB"/>
            <w:noWrap/>
            <w:vAlign w:val="center"/>
          </w:tcPr>
          <w:p w:rsidR="00486F91" w:rsidRPr="00954ED1" w:rsidRDefault="00486F91" w:rsidP="00A56527">
            <w:pPr>
              <w:widowControl/>
              <w:tabs>
                <w:tab w:val="num" w:pos="426"/>
              </w:tabs>
              <w:rPr>
                <w:sz w:val="18"/>
                <w:szCs w:val="18"/>
              </w:rPr>
            </w:pPr>
            <w:r w:rsidRPr="00954ED1">
              <w:rPr>
                <w:sz w:val="18"/>
                <w:szCs w:val="18"/>
              </w:rPr>
              <w:t>《地方政府债务纳入预算管理的甄别方法》</w:t>
            </w:r>
          </w:p>
        </w:tc>
        <w:tc>
          <w:tcPr>
            <w:tcW w:w="6665" w:type="dxa"/>
            <w:shd w:val="clear" w:color="auto" w:fill="D3EDFB"/>
            <w:noWrap/>
            <w:vAlign w:val="center"/>
          </w:tcPr>
          <w:p w:rsidR="00486F91" w:rsidRPr="00954ED1" w:rsidRDefault="00486F91" w:rsidP="00A56527">
            <w:pPr>
              <w:widowControl/>
              <w:tabs>
                <w:tab w:val="num" w:pos="426"/>
              </w:tabs>
              <w:rPr>
                <w:sz w:val="18"/>
                <w:szCs w:val="18"/>
              </w:rPr>
            </w:pPr>
            <w:r w:rsidRPr="00954ED1">
              <w:rPr>
                <w:sz w:val="18"/>
                <w:szCs w:val="18"/>
              </w:rPr>
              <w:t>清理存量债务，甄别政府债务，将政府债务甄别为一般债务和专项债务，将政府存量债务分类纳入预算管理</w:t>
            </w:r>
          </w:p>
        </w:tc>
      </w:tr>
      <w:tr w:rsidR="00486F91" w:rsidRPr="00954ED1" w:rsidTr="00A56527">
        <w:trPr>
          <w:trHeight w:val="340"/>
          <w:jc w:val="center"/>
        </w:trPr>
        <w:tc>
          <w:tcPr>
            <w:tcW w:w="2834" w:type="dxa"/>
            <w:shd w:val="clear" w:color="auto" w:fill="auto"/>
            <w:noWrap/>
            <w:vAlign w:val="center"/>
          </w:tcPr>
          <w:p w:rsidR="00486F91" w:rsidRPr="00954ED1" w:rsidRDefault="00486F91" w:rsidP="00A56527">
            <w:pPr>
              <w:widowControl/>
              <w:tabs>
                <w:tab w:val="num" w:pos="426"/>
              </w:tabs>
              <w:rPr>
                <w:sz w:val="18"/>
                <w:szCs w:val="18"/>
              </w:rPr>
            </w:pPr>
            <w:r w:rsidRPr="00954ED1">
              <w:rPr>
                <w:rFonts w:hint="eastAsia"/>
                <w:sz w:val="18"/>
                <w:szCs w:val="18"/>
              </w:rPr>
              <w:t>《地方政府一般债券发行管理暂行办法》</w:t>
            </w:r>
          </w:p>
        </w:tc>
        <w:tc>
          <w:tcPr>
            <w:tcW w:w="6665" w:type="dxa"/>
            <w:shd w:val="clear" w:color="auto" w:fill="auto"/>
            <w:noWrap/>
            <w:vAlign w:val="center"/>
          </w:tcPr>
          <w:p w:rsidR="00486F91" w:rsidRPr="00954ED1" w:rsidRDefault="00486F91" w:rsidP="00A56527">
            <w:pPr>
              <w:widowControl/>
              <w:tabs>
                <w:tab w:val="num" w:pos="426"/>
              </w:tabs>
              <w:rPr>
                <w:sz w:val="18"/>
                <w:szCs w:val="18"/>
              </w:rPr>
            </w:pPr>
            <w:r w:rsidRPr="00954ED1">
              <w:rPr>
                <w:rFonts w:hint="eastAsia"/>
                <w:sz w:val="18"/>
                <w:szCs w:val="18"/>
              </w:rPr>
              <w:t>首次对地方一般债券进行界定，发行方式为自发自还，发行主体为</w:t>
            </w:r>
            <w:r w:rsidRPr="00954ED1">
              <w:rPr>
                <w:sz w:val="18"/>
                <w:szCs w:val="18"/>
              </w:rPr>
              <w:t>36</w:t>
            </w:r>
            <w:r w:rsidRPr="00954ED1">
              <w:rPr>
                <w:rFonts w:hint="eastAsia"/>
                <w:sz w:val="18"/>
                <w:szCs w:val="18"/>
              </w:rPr>
              <w:t>个省、自治区、直辖市政府</w:t>
            </w:r>
            <w:r w:rsidRPr="00954ED1">
              <w:rPr>
                <w:sz w:val="18"/>
                <w:szCs w:val="18"/>
              </w:rPr>
              <w:t>(</w:t>
            </w:r>
            <w:r w:rsidRPr="00954ED1">
              <w:rPr>
                <w:rFonts w:hint="eastAsia"/>
                <w:sz w:val="18"/>
                <w:szCs w:val="18"/>
              </w:rPr>
              <w:t>含计划单列市政府</w:t>
            </w:r>
            <w:r w:rsidRPr="00954ED1">
              <w:rPr>
                <w:sz w:val="18"/>
                <w:szCs w:val="18"/>
              </w:rPr>
              <w:t>)</w:t>
            </w:r>
            <w:r w:rsidRPr="00954ED1">
              <w:rPr>
                <w:rFonts w:hint="eastAsia"/>
                <w:sz w:val="18"/>
                <w:szCs w:val="18"/>
              </w:rPr>
              <w:t>，资金用途为没有收益的公益性项目，且纳入一般预算管理</w:t>
            </w:r>
          </w:p>
        </w:tc>
      </w:tr>
      <w:tr w:rsidR="00486F91" w:rsidRPr="00954ED1" w:rsidTr="00A56527">
        <w:trPr>
          <w:trHeight w:val="340"/>
          <w:jc w:val="center"/>
        </w:trPr>
        <w:tc>
          <w:tcPr>
            <w:tcW w:w="2834" w:type="dxa"/>
            <w:shd w:val="clear" w:color="auto" w:fill="D3EDFB"/>
            <w:noWrap/>
            <w:vAlign w:val="center"/>
          </w:tcPr>
          <w:p w:rsidR="00486F91" w:rsidRPr="00954ED1" w:rsidRDefault="00486F91" w:rsidP="00A56527">
            <w:pPr>
              <w:widowControl/>
              <w:tabs>
                <w:tab w:val="num" w:pos="426"/>
              </w:tabs>
              <w:rPr>
                <w:sz w:val="18"/>
                <w:szCs w:val="18"/>
              </w:rPr>
            </w:pPr>
            <w:r w:rsidRPr="00954ED1">
              <w:rPr>
                <w:rFonts w:hint="eastAsia"/>
                <w:sz w:val="18"/>
                <w:szCs w:val="18"/>
              </w:rPr>
              <w:t>《地方政府专项债券发行管理暂行办法》</w:t>
            </w:r>
          </w:p>
        </w:tc>
        <w:tc>
          <w:tcPr>
            <w:tcW w:w="6665" w:type="dxa"/>
            <w:shd w:val="clear" w:color="auto" w:fill="D3EDFB"/>
            <w:noWrap/>
            <w:vAlign w:val="center"/>
          </w:tcPr>
          <w:p w:rsidR="00486F91" w:rsidRPr="00954ED1" w:rsidRDefault="00486F91" w:rsidP="00A56527">
            <w:pPr>
              <w:widowControl/>
              <w:tabs>
                <w:tab w:val="num" w:pos="426"/>
              </w:tabs>
              <w:rPr>
                <w:sz w:val="18"/>
                <w:szCs w:val="18"/>
              </w:rPr>
            </w:pPr>
            <w:r w:rsidRPr="00954ED1">
              <w:rPr>
                <w:rFonts w:hint="eastAsia"/>
                <w:sz w:val="18"/>
                <w:szCs w:val="18"/>
              </w:rPr>
              <w:t>首次对地方政府专项债券进行界定，发行方式为自发自还，发行主体为</w:t>
            </w:r>
            <w:r w:rsidRPr="00954ED1">
              <w:rPr>
                <w:sz w:val="18"/>
                <w:szCs w:val="18"/>
              </w:rPr>
              <w:t>36</w:t>
            </w:r>
            <w:r w:rsidRPr="00954ED1">
              <w:rPr>
                <w:rFonts w:hint="eastAsia"/>
                <w:sz w:val="18"/>
                <w:szCs w:val="18"/>
              </w:rPr>
              <w:t>个省、自治区、直辖市政府（含计划单列市政府），资金用途为有一定收益的公益性项目，</w:t>
            </w:r>
            <w:proofErr w:type="gramStart"/>
            <w:r w:rsidRPr="00954ED1">
              <w:rPr>
                <w:color w:val="000000"/>
                <w:sz w:val="18"/>
                <w:szCs w:val="18"/>
              </w:rPr>
              <w:t>单只专项</w:t>
            </w:r>
            <w:proofErr w:type="gramEnd"/>
            <w:r w:rsidRPr="00954ED1">
              <w:rPr>
                <w:color w:val="000000"/>
                <w:sz w:val="18"/>
                <w:szCs w:val="18"/>
              </w:rPr>
              <w:t>债券应当以单项政府性基金或专项收入为偿债来源</w:t>
            </w:r>
          </w:p>
        </w:tc>
      </w:tr>
      <w:tr w:rsidR="00486F91" w:rsidRPr="00954ED1" w:rsidTr="0086308A">
        <w:trPr>
          <w:trHeight w:val="340"/>
          <w:jc w:val="center"/>
        </w:trPr>
        <w:tc>
          <w:tcPr>
            <w:tcW w:w="2834" w:type="dxa"/>
            <w:shd w:val="clear" w:color="auto" w:fill="auto"/>
            <w:noWrap/>
            <w:vAlign w:val="center"/>
          </w:tcPr>
          <w:p w:rsidR="00486F91" w:rsidRPr="00954ED1" w:rsidRDefault="00486F91" w:rsidP="00A56527">
            <w:pPr>
              <w:widowControl/>
              <w:tabs>
                <w:tab w:val="num" w:pos="426"/>
              </w:tabs>
              <w:rPr>
                <w:sz w:val="18"/>
                <w:szCs w:val="18"/>
              </w:rPr>
            </w:pPr>
            <w:r w:rsidRPr="00954ED1">
              <w:rPr>
                <w:sz w:val="18"/>
                <w:szCs w:val="18"/>
              </w:rPr>
              <w:lastRenderedPageBreak/>
              <w:t>《关于做好</w:t>
            </w:r>
            <w:r w:rsidRPr="00954ED1">
              <w:rPr>
                <w:sz w:val="18"/>
                <w:szCs w:val="18"/>
              </w:rPr>
              <w:t>2015</w:t>
            </w:r>
            <w:r w:rsidRPr="00954ED1">
              <w:rPr>
                <w:sz w:val="18"/>
                <w:szCs w:val="18"/>
              </w:rPr>
              <w:t>年地方政府一般债券发行工作的通知</w:t>
            </w:r>
            <w:r w:rsidRPr="00954ED1">
              <w:rPr>
                <w:rFonts w:hint="eastAsia"/>
                <w:sz w:val="18"/>
                <w:szCs w:val="18"/>
              </w:rPr>
              <w:t>》</w:t>
            </w:r>
          </w:p>
        </w:tc>
        <w:tc>
          <w:tcPr>
            <w:tcW w:w="6665" w:type="dxa"/>
            <w:shd w:val="clear" w:color="auto" w:fill="auto"/>
            <w:noWrap/>
            <w:vAlign w:val="center"/>
          </w:tcPr>
          <w:p w:rsidR="00486F91" w:rsidRPr="00954ED1" w:rsidRDefault="00486F91" w:rsidP="00A56527">
            <w:pPr>
              <w:widowControl/>
              <w:tabs>
                <w:tab w:val="num" w:pos="426"/>
              </w:tabs>
              <w:rPr>
                <w:sz w:val="18"/>
                <w:szCs w:val="18"/>
              </w:rPr>
            </w:pPr>
            <w:r w:rsidRPr="00954ED1">
              <w:rPr>
                <w:sz w:val="18"/>
                <w:szCs w:val="18"/>
              </w:rPr>
              <w:t>就</w:t>
            </w:r>
            <w:r w:rsidRPr="00954ED1">
              <w:rPr>
                <w:sz w:val="18"/>
                <w:szCs w:val="18"/>
              </w:rPr>
              <w:t>2015</w:t>
            </w:r>
            <w:r w:rsidRPr="00954ED1">
              <w:rPr>
                <w:sz w:val="18"/>
                <w:szCs w:val="18"/>
              </w:rPr>
              <w:t>年地方政府一般债券的发行、承销、信用评级和信息披露等工作做出详细规定</w:t>
            </w:r>
          </w:p>
        </w:tc>
      </w:tr>
      <w:tr w:rsidR="00486F91" w:rsidRPr="00954ED1" w:rsidTr="0086308A">
        <w:trPr>
          <w:trHeight w:val="340"/>
          <w:jc w:val="center"/>
        </w:trPr>
        <w:tc>
          <w:tcPr>
            <w:tcW w:w="2834" w:type="dxa"/>
            <w:shd w:val="clear" w:color="auto" w:fill="D3EDFB"/>
            <w:noWrap/>
            <w:vAlign w:val="center"/>
          </w:tcPr>
          <w:p w:rsidR="00486F91" w:rsidRPr="00954ED1" w:rsidRDefault="00486F91" w:rsidP="00A56527">
            <w:pPr>
              <w:widowControl/>
              <w:tabs>
                <w:tab w:val="num" w:pos="426"/>
              </w:tabs>
              <w:rPr>
                <w:sz w:val="18"/>
                <w:szCs w:val="18"/>
              </w:rPr>
            </w:pPr>
            <w:r w:rsidRPr="00954ED1">
              <w:rPr>
                <w:rFonts w:hint="eastAsia"/>
                <w:sz w:val="18"/>
                <w:szCs w:val="18"/>
              </w:rPr>
              <w:t>《</w:t>
            </w:r>
            <w:r w:rsidRPr="00954ED1">
              <w:rPr>
                <w:rFonts w:hint="eastAsia"/>
                <w:sz w:val="18"/>
                <w:szCs w:val="18"/>
              </w:rPr>
              <w:t>2015</w:t>
            </w:r>
            <w:r w:rsidRPr="00954ED1">
              <w:rPr>
                <w:rFonts w:hint="eastAsia"/>
                <w:sz w:val="18"/>
                <w:szCs w:val="18"/>
              </w:rPr>
              <w:t>年地方政府专项债券预算管理办法》</w:t>
            </w:r>
          </w:p>
        </w:tc>
        <w:tc>
          <w:tcPr>
            <w:tcW w:w="6665" w:type="dxa"/>
            <w:shd w:val="clear" w:color="auto" w:fill="D3EDFB"/>
            <w:noWrap/>
            <w:vAlign w:val="center"/>
          </w:tcPr>
          <w:p w:rsidR="00486F91" w:rsidRPr="00954ED1" w:rsidRDefault="00FE5EB5" w:rsidP="00A56527">
            <w:pPr>
              <w:widowControl/>
              <w:tabs>
                <w:tab w:val="num" w:pos="426"/>
              </w:tabs>
              <w:rPr>
                <w:sz w:val="18"/>
                <w:szCs w:val="18"/>
              </w:rPr>
            </w:pPr>
            <w:r>
              <w:rPr>
                <w:sz w:val="18"/>
                <w:szCs w:val="18"/>
              </w:rPr>
              <w:t>针对地方</w:t>
            </w:r>
            <w:r w:rsidR="00486F91" w:rsidRPr="00954ED1">
              <w:rPr>
                <w:sz w:val="18"/>
                <w:szCs w:val="18"/>
              </w:rPr>
              <w:t>政府专项债券的特殊性，在发行要求、预算编制和调整、预算科目设置以及预算执行等多个方面提出了明确要求</w:t>
            </w:r>
          </w:p>
        </w:tc>
      </w:tr>
      <w:tr w:rsidR="00486F91" w:rsidRPr="00954ED1" w:rsidTr="0086308A">
        <w:trPr>
          <w:trHeight w:val="340"/>
          <w:jc w:val="center"/>
        </w:trPr>
        <w:tc>
          <w:tcPr>
            <w:tcW w:w="2834" w:type="dxa"/>
            <w:shd w:val="clear" w:color="auto" w:fill="auto"/>
            <w:noWrap/>
          </w:tcPr>
          <w:p w:rsidR="00486F91" w:rsidRPr="00954ED1" w:rsidRDefault="00486F91" w:rsidP="00A56527">
            <w:pPr>
              <w:widowControl/>
              <w:tabs>
                <w:tab w:val="num" w:pos="426"/>
              </w:tabs>
              <w:rPr>
                <w:sz w:val="18"/>
                <w:szCs w:val="18"/>
              </w:rPr>
            </w:pPr>
            <w:r w:rsidRPr="00954ED1">
              <w:rPr>
                <w:rFonts w:hint="eastAsia"/>
                <w:sz w:val="18"/>
                <w:szCs w:val="18"/>
              </w:rPr>
              <w:t>关于《国务院关于提请审议批准</w:t>
            </w:r>
            <w:r w:rsidRPr="00954ED1">
              <w:rPr>
                <w:rFonts w:hint="eastAsia"/>
                <w:sz w:val="18"/>
                <w:szCs w:val="18"/>
              </w:rPr>
              <w:t>2015</w:t>
            </w:r>
            <w:r w:rsidRPr="00954ED1">
              <w:rPr>
                <w:rFonts w:hint="eastAsia"/>
                <w:sz w:val="18"/>
                <w:szCs w:val="18"/>
              </w:rPr>
              <w:t>年地方政府债务限额的议案》的决议</w:t>
            </w:r>
          </w:p>
        </w:tc>
        <w:tc>
          <w:tcPr>
            <w:tcW w:w="6665" w:type="dxa"/>
            <w:shd w:val="clear" w:color="auto" w:fill="auto"/>
            <w:noWrap/>
          </w:tcPr>
          <w:p w:rsidR="00486F91" w:rsidRPr="00954ED1" w:rsidRDefault="006E3433" w:rsidP="00FE5EB5">
            <w:pPr>
              <w:widowControl/>
              <w:tabs>
                <w:tab w:val="num" w:pos="426"/>
              </w:tabs>
              <w:rPr>
                <w:sz w:val="18"/>
                <w:szCs w:val="18"/>
              </w:rPr>
            </w:pPr>
            <w:r w:rsidRPr="00954ED1">
              <w:rPr>
                <w:rFonts w:hint="eastAsia"/>
                <w:sz w:val="18"/>
                <w:szCs w:val="18"/>
              </w:rPr>
              <w:t>截至</w:t>
            </w:r>
            <w:r w:rsidRPr="00954ED1">
              <w:rPr>
                <w:rFonts w:hint="eastAsia"/>
                <w:sz w:val="18"/>
                <w:szCs w:val="18"/>
              </w:rPr>
              <w:t>2015</w:t>
            </w:r>
            <w:r w:rsidRPr="00954ED1">
              <w:rPr>
                <w:rFonts w:hint="eastAsia"/>
                <w:sz w:val="18"/>
                <w:szCs w:val="18"/>
              </w:rPr>
              <w:t>年地方政府负有偿还责任的债务为</w:t>
            </w:r>
            <w:r w:rsidRPr="00954ED1">
              <w:rPr>
                <w:rFonts w:hint="eastAsia"/>
                <w:sz w:val="18"/>
                <w:szCs w:val="18"/>
              </w:rPr>
              <w:t>16</w:t>
            </w:r>
            <w:proofErr w:type="gramStart"/>
            <w:r w:rsidRPr="00954ED1">
              <w:rPr>
                <w:rFonts w:hint="eastAsia"/>
                <w:sz w:val="18"/>
                <w:szCs w:val="18"/>
              </w:rPr>
              <w:t>万亿</w:t>
            </w:r>
            <w:proofErr w:type="gramEnd"/>
            <w:r w:rsidRPr="00954ED1">
              <w:rPr>
                <w:rFonts w:hint="eastAsia"/>
                <w:sz w:val="18"/>
                <w:szCs w:val="18"/>
              </w:rPr>
              <w:t>（其中</w:t>
            </w:r>
            <w:r w:rsidRPr="00954ED1">
              <w:rPr>
                <w:rFonts w:hint="eastAsia"/>
                <w:sz w:val="18"/>
                <w:szCs w:val="18"/>
              </w:rPr>
              <w:t>201</w:t>
            </w:r>
            <w:r>
              <w:rPr>
                <w:rFonts w:hint="eastAsia"/>
                <w:sz w:val="18"/>
                <w:szCs w:val="18"/>
              </w:rPr>
              <w:t>4</w:t>
            </w:r>
            <w:r w:rsidRPr="00954ED1">
              <w:rPr>
                <w:rFonts w:hint="eastAsia"/>
                <w:sz w:val="18"/>
                <w:szCs w:val="18"/>
              </w:rPr>
              <w:t>年底地方政府负有偿还责任的债务为</w:t>
            </w:r>
            <w:r w:rsidRPr="00954ED1">
              <w:rPr>
                <w:rFonts w:hint="eastAsia"/>
                <w:sz w:val="18"/>
                <w:szCs w:val="18"/>
              </w:rPr>
              <w:t>15.40</w:t>
            </w:r>
            <w:proofErr w:type="gramStart"/>
            <w:r w:rsidRPr="00954ED1">
              <w:rPr>
                <w:rFonts w:hint="eastAsia"/>
                <w:sz w:val="18"/>
                <w:szCs w:val="18"/>
              </w:rPr>
              <w:t>万亿</w:t>
            </w:r>
            <w:proofErr w:type="gramEnd"/>
            <w:r w:rsidRPr="00954ED1">
              <w:rPr>
                <w:rFonts w:hint="eastAsia"/>
                <w:sz w:val="18"/>
                <w:szCs w:val="18"/>
              </w:rPr>
              <w:t>元，</w:t>
            </w:r>
            <w:r w:rsidRPr="00954ED1">
              <w:rPr>
                <w:rFonts w:hint="eastAsia"/>
                <w:sz w:val="18"/>
                <w:szCs w:val="18"/>
              </w:rPr>
              <w:t>2015</w:t>
            </w:r>
            <w:r w:rsidRPr="00954ED1">
              <w:rPr>
                <w:rFonts w:hint="eastAsia"/>
                <w:sz w:val="18"/>
                <w:szCs w:val="18"/>
              </w:rPr>
              <w:t>年新增政府负有偿还责任的债务</w:t>
            </w:r>
            <w:r w:rsidRPr="00954ED1">
              <w:rPr>
                <w:rFonts w:hint="eastAsia"/>
                <w:sz w:val="18"/>
                <w:szCs w:val="18"/>
              </w:rPr>
              <w:t>0.60</w:t>
            </w:r>
            <w:proofErr w:type="gramStart"/>
            <w:r>
              <w:rPr>
                <w:rFonts w:hint="eastAsia"/>
                <w:sz w:val="18"/>
                <w:szCs w:val="18"/>
              </w:rPr>
              <w:t>万</w:t>
            </w:r>
            <w:r w:rsidRPr="00954ED1">
              <w:rPr>
                <w:rFonts w:hint="eastAsia"/>
                <w:sz w:val="18"/>
                <w:szCs w:val="18"/>
              </w:rPr>
              <w:t>亿</w:t>
            </w:r>
            <w:proofErr w:type="gramEnd"/>
            <w:r w:rsidRPr="00954ED1">
              <w:rPr>
                <w:rFonts w:hint="eastAsia"/>
                <w:sz w:val="18"/>
                <w:szCs w:val="18"/>
              </w:rPr>
              <w:t>元），截至</w:t>
            </w:r>
            <w:r w:rsidRPr="00954ED1">
              <w:rPr>
                <w:rFonts w:hint="eastAsia"/>
                <w:sz w:val="18"/>
                <w:szCs w:val="18"/>
              </w:rPr>
              <w:t>201</w:t>
            </w:r>
            <w:r>
              <w:rPr>
                <w:rFonts w:hint="eastAsia"/>
                <w:sz w:val="18"/>
                <w:szCs w:val="18"/>
              </w:rPr>
              <w:t>4</w:t>
            </w:r>
            <w:r w:rsidRPr="00954ED1">
              <w:rPr>
                <w:rFonts w:hint="eastAsia"/>
                <w:sz w:val="18"/>
                <w:szCs w:val="18"/>
              </w:rPr>
              <w:t>年底地方政府或有债务为</w:t>
            </w:r>
            <w:r w:rsidRPr="00954ED1">
              <w:rPr>
                <w:rFonts w:hint="eastAsia"/>
                <w:sz w:val="18"/>
                <w:szCs w:val="18"/>
              </w:rPr>
              <w:t>8.60</w:t>
            </w:r>
            <w:proofErr w:type="gramStart"/>
            <w:r>
              <w:rPr>
                <w:rFonts w:hint="eastAsia"/>
                <w:sz w:val="18"/>
                <w:szCs w:val="18"/>
              </w:rPr>
              <w:t>万</w:t>
            </w:r>
            <w:r w:rsidRPr="00954ED1">
              <w:rPr>
                <w:rFonts w:hint="eastAsia"/>
                <w:sz w:val="18"/>
                <w:szCs w:val="18"/>
              </w:rPr>
              <w:t>亿</w:t>
            </w:r>
            <w:proofErr w:type="gramEnd"/>
            <w:r w:rsidRPr="00954ED1">
              <w:rPr>
                <w:rFonts w:hint="eastAsia"/>
                <w:sz w:val="18"/>
                <w:szCs w:val="18"/>
              </w:rPr>
              <w:t>元</w:t>
            </w:r>
          </w:p>
        </w:tc>
      </w:tr>
      <w:tr w:rsidR="00486F91" w:rsidRPr="00954ED1" w:rsidTr="0086308A">
        <w:trPr>
          <w:trHeight w:val="340"/>
          <w:jc w:val="center"/>
        </w:trPr>
        <w:tc>
          <w:tcPr>
            <w:tcW w:w="2834" w:type="dxa"/>
            <w:shd w:val="clear" w:color="auto" w:fill="D3EDFB"/>
            <w:noWrap/>
            <w:vAlign w:val="center"/>
          </w:tcPr>
          <w:p w:rsidR="00486F91" w:rsidRPr="00954ED1" w:rsidRDefault="00486F91" w:rsidP="00A56527">
            <w:pPr>
              <w:widowControl/>
              <w:tabs>
                <w:tab w:val="num" w:pos="426"/>
              </w:tabs>
              <w:rPr>
                <w:sz w:val="18"/>
                <w:szCs w:val="18"/>
              </w:rPr>
            </w:pPr>
            <w:r w:rsidRPr="00954ED1">
              <w:rPr>
                <w:rFonts w:hint="eastAsia"/>
                <w:sz w:val="18"/>
                <w:szCs w:val="18"/>
              </w:rPr>
              <w:t>《关于规范地方政府债务管理工作情况的调研报告》</w:t>
            </w:r>
          </w:p>
        </w:tc>
        <w:tc>
          <w:tcPr>
            <w:tcW w:w="6665" w:type="dxa"/>
            <w:shd w:val="clear" w:color="auto" w:fill="D3EDFB"/>
            <w:noWrap/>
          </w:tcPr>
          <w:p w:rsidR="00486F91" w:rsidRPr="00954ED1" w:rsidRDefault="00486F91" w:rsidP="00A56527">
            <w:pPr>
              <w:widowControl/>
              <w:tabs>
                <w:tab w:val="num" w:pos="426"/>
              </w:tabs>
              <w:rPr>
                <w:sz w:val="18"/>
                <w:szCs w:val="18"/>
              </w:rPr>
            </w:pPr>
            <w:r w:rsidRPr="00954ED1">
              <w:rPr>
                <w:rFonts w:hint="eastAsia"/>
                <w:sz w:val="18"/>
                <w:szCs w:val="18"/>
              </w:rPr>
              <w:t>披露了截至</w:t>
            </w:r>
            <w:r w:rsidRPr="00954ED1">
              <w:rPr>
                <w:sz w:val="18"/>
                <w:szCs w:val="18"/>
              </w:rPr>
              <w:t>2014</w:t>
            </w:r>
            <w:r w:rsidRPr="00954ED1">
              <w:rPr>
                <w:rFonts w:hint="eastAsia"/>
                <w:sz w:val="18"/>
                <w:szCs w:val="18"/>
              </w:rPr>
              <w:t>年底地方政府债务总额、债务层级、举债资金来源、资金用途、债务期限结构、债务负担等数据</w:t>
            </w:r>
          </w:p>
        </w:tc>
      </w:tr>
      <w:tr w:rsidR="00486F91" w:rsidRPr="00954ED1" w:rsidTr="0086308A">
        <w:trPr>
          <w:trHeight w:val="340"/>
          <w:jc w:val="center"/>
        </w:trPr>
        <w:tc>
          <w:tcPr>
            <w:tcW w:w="2834" w:type="dxa"/>
            <w:shd w:val="clear" w:color="auto" w:fill="auto"/>
            <w:noWrap/>
            <w:vAlign w:val="center"/>
          </w:tcPr>
          <w:p w:rsidR="00486F91" w:rsidRPr="00954ED1" w:rsidRDefault="00486F91" w:rsidP="00A56527">
            <w:pPr>
              <w:widowControl/>
              <w:tabs>
                <w:tab w:val="num" w:pos="426"/>
              </w:tabs>
              <w:rPr>
                <w:sz w:val="18"/>
                <w:szCs w:val="18"/>
              </w:rPr>
            </w:pPr>
            <w:r w:rsidRPr="00954ED1">
              <w:rPr>
                <w:rFonts w:hint="eastAsia"/>
                <w:sz w:val="18"/>
                <w:szCs w:val="18"/>
              </w:rPr>
              <w:t>《关于地方政府债务实行限额管理的实施意见》</w:t>
            </w:r>
          </w:p>
        </w:tc>
        <w:tc>
          <w:tcPr>
            <w:tcW w:w="6665" w:type="dxa"/>
            <w:shd w:val="clear" w:color="auto" w:fill="auto"/>
            <w:noWrap/>
          </w:tcPr>
          <w:p w:rsidR="00486F91" w:rsidRPr="00954ED1" w:rsidRDefault="00486F91" w:rsidP="00A56527">
            <w:pPr>
              <w:widowControl/>
              <w:spacing w:line="276" w:lineRule="auto"/>
              <w:contextualSpacing/>
              <w:rPr>
                <w:sz w:val="18"/>
                <w:szCs w:val="18"/>
              </w:rPr>
            </w:pPr>
            <w:r w:rsidRPr="00954ED1">
              <w:rPr>
                <w:rFonts w:hint="eastAsia"/>
                <w:sz w:val="18"/>
                <w:szCs w:val="18"/>
              </w:rPr>
              <w:t>提出对地方政府债务实行限额管理，明确了地方政府限额确定的程序、方式及类别，明确省级和计划单列市地方政府为债务的举借主体。同时，从建立债务预警指标体系、风险化解应急处置机制和监督考核问责机制等方面加强对地方政府债务的管理。此外，还强调了对存量债务和</w:t>
            </w:r>
            <w:proofErr w:type="gramStart"/>
            <w:r w:rsidRPr="00954ED1">
              <w:rPr>
                <w:rFonts w:hint="eastAsia"/>
                <w:sz w:val="18"/>
                <w:szCs w:val="18"/>
              </w:rPr>
              <w:t>或</w:t>
            </w:r>
            <w:proofErr w:type="gramEnd"/>
            <w:r w:rsidRPr="00954ED1">
              <w:rPr>
                <w:rFonts w:hint="eastAsia"/>
                <w:sz w:val="18"/>
                <w:szCs w:val="18"/>
              </w:rPr>
              <w:t>有债务的妥善处理，明确了对或有债务的处置原则和方式</w:t>
            </w:r>
          </w:p>
        </w:tc>
      </w:tr>
      <w:tr w:rsidR="00486F91" w:rsidRPr="00954ED1" w:rsidTr="0086308A">
        <w:trPr>
          <w:trHeight w:val="340"/>
          <w:jc w:val="center"/>
        </w:trPr>
        <w:tc>
          <w:tcPr>
            <w:tcW w:w="2834" w:type="dxa"/>
            <w:shd w:val="clear" w:color="auto" w:fill="D3EDFB"/>
            <w:noWrap/>
            <w:vAlign w:val="center"/>
          </w:tcPr>
          <w:p w:rsidR="00486F91" w:rsidRPr="00954ED1" w:rsidRDefault="00486F91" w:rsidP="00A56527">
            <w:pPr>
              <w:widowControl/>
              <w:tabs>
                <w:tab w:val="num" w:pos="426"/>
              </w:tabs>
              <w:rPr>
                <w:sz w:val="18"/>
                <w:szCs w:val="18"/>
              </w:rPr>
            </w:pPr>
            <w:r w:rsidRPr="00954ED1">
              <w:rPr>
                <w:rFonts w:hint="eastAsia"/>
                <w:sz w:val="18"/>
                <w:szCs w:val="18"/>
              </w:rPr>
              <w:t>《关于做好</w:t>
            </w:r>
            <w:r w:rsidRPr="00954ED1">
              <w:rPr>
                <w:rFonts w:hint="eastAsia"/>
                <w:sz w:val="18"/>
                <w:szCs w:val="18"/>
              </w:rPr>
              <w:t>2016</w:t>
            </w:r>
            <w:r w:rsidRPr="00954ED1">
              <w:rPr>
                <w:rFonts w:hint="eastAsia"/>
                <w:sz w:val="18"/>
                <w:szCs w:val="18"/>
              </w:rPr>
              <w:t>年地方政府债券发行工作的通知》</w:t>
            </w:r>
          </w:p>
        </w:tc>
        <w:tc>
          <w:tcPr>
            <w:tcW w:w="6665" w:type="dxa"/>
            <w:shd w:val="clear" w:color="auto" w:fill="D3EDFB"/>
            <w:noWrap/>
          </w:tcPr>
          <w:p w:rsidR="00486F91" w:rsidRPr="00954ED1" w:rsidRDefault="00486F91" w:rsidP="00A56527">
            <w:pPr>
              <w:widowControl/>
              <w:spacing w:line="276" w:lineRule="auto"/>
              <w:contextualSpacing/>
              <w:rPr>
                <w:sz w:val="18"/>
                <w:szCs w:val="18"/>
              </w:rPr>
            </w:pPr>
            <w:r w:rsidRPr="00954ED1">
              <w:rPr>
                <w:rFonts w:hint="eastAsia"/>
                <w:sz w:val="18"/>
                <w:szCs w:val="18"/>
              </w:rPr>
              <w:t>在发行主体、发行方式中均延续了</w:t>
            </w:r>
            <w:r w:rsidRPr="00954ED1">
              <w:rPr>
                <w:sz w:val="18"/>
                <w:szCs w:val="18"/>
              </w:rPr>
              <w:t>2015</w:t>
            </w:r>
            <w:r w:rsidRPr="00954ED1">
              <w:rPr>
                <w:rFonts w:hint="eastAsia"/>
                <w:sz w:val="18"/>
                <w:szCs w:val="18"/>
              </w:rPr>
              <w:t>年相关政策，并在重视信用评级工作、把</w:t>
            </w:r>
            <w:proofErr w:type="gramStart"/>
            <w:r w:rsidRPr="00954ED1">
              <w:rPr>
                <w:rFonts w:hint="eastAsia"/>
                <w:sz w:val="18"/>
                <w:szCs w:val="18"/>
              </w:rPr>
              <w:t>控发行</w:t>
            </w:r>
            <w:proofErr w:type="gramEnd"/>
            <w:r w:rsidRPr="00954ED1">
              <w:rPr>
                <w:rFonts w:hint="eastAsia"/>
                <w:sz w:val="18"/>
                <w:szCs w:val="18"/>
              </w:rPr>
              <w:t>节奏、提高市场流动性、完善信息披露、合</w:t>
            </w:r>
            <w:proofErr w:type="gramStart"/>
            <w:r w:rsidRPr="00954ED1">
              <w:rPr>
                <w:rFonts w:hint="eastAsia"/>
                <w:sz w:val="18"/>
                <w:szCs w:val="18"/>
              </w:rPr>
              <w:t>规</w:t>
            </w:r>
            <w:proofErr w:type="gramEnd"/>
            <w:r w:rsidRPr="00954ED1">
              <w:rPr>
                <w:rFonts w:hint="eastAsia"/>
                <w:sz w:val="18"/>
                <w:szCs w:val="18"/>
              </w:rPr>
              <w:t>性等方面进行了完善和细化，有利于</w:t>
            </w:r>
            <w:r w:rsidRPr="00954ED1">
              <w:rPr>
                <w:sz w:val="18"/>
                <w:szCs w:val="18"/>
              </w:rPr>
              <w:t>2016</w:t>
            </w:r>
            <w:r w:rsidRPr="00954ED1">
              <w:rPr>
                <w:rFonts w:hint="eastAsia"/>
                <w:sz w:val="18"/>
                <w:szCs w:val="18"/>
              </w:rPr>
              <w:t>年地方债平稳、顺利地发行</w:t>
            </w:r>
          </w:p>
        </w:tc>
      </w:tr>
    </w:tbl>
    <w:p w:rsidR="00486F91" w:rsidRDefault="00486F91" w:rsidP="0086308A">
      <w:pPr>
        <w:spacing w:afterLines="50" w:after="156" w:line="240" w:lineRule="exact"/>
        <w:ind w:leftChars="-1" w:left="-2"/>
        <w:rPr>
          <w:rFonts w:eastAsia="黑体"/>
          <w:sz w:val="15"/>
          <w:szCs w:val="15"/>
        </w:rPr>
      </w:pPr>
      <w:r w:rsidRPr="00094226">
        <w:rPr>
          <w:rFonts w:eastAsia="黑体"/>
          <w:sz w:val="15"/>
          <w:szCs w:val="15"/>
        </w:rPr>
        <w:t>资料来源：公开资料，中债资信整理</w:t>
      </w:r>
    </w:p>
    <w:p w:rsidR="00486F91" w:rsidRPr="0085792E" w:rsidRDefault="00486F91" w:rsidP="00486F91">
      <w:pPr>
        <w:widowControl/>
        <w:tabs>
          <w:tab w:val="num" w:pos="426"/>
        </w:tabs>
        <w:spacing w:line="300" w:lineRule="auto"/>
        <w:ind w:firstLineChars="200" w:firstLine="422"/>
        <w:rPr>
          <w:rFonts w:eastAsia="黑体"/>
          <w:b/>
          <w:sz w:val="24"/>
        </w:rPr>
      </w:pPr>
      <w:r w:rsidRPr="00954ED1">
        <w:rPr>
          <w:b/>
          <w:szCs w:val="22"/>
        </w:rPr>
        <w:t>政府债务</w:t>
      </w:r>
      <w:r w:rsidRPr="00954ED1">
        <w:rPr>
          <w:rFonts w:hint="eastAsia"/>
          <w:b/>
          <w:szCs w:val="22"/>
        </w:rPr>
        <w:t>实行限额管理</w:t>
      </w:r>
      <w:r w:rsidRPr="00954ED1">
        <w:rPr>
          <w:b/>
          <w:szCs w:val="22"/>
        </w:rPr>
        <w:t>，债务风险总体可控</w:t>
      </w:r>
      <w:r w:rsidRPr="00094226">
        <w:rPr>
          <w:b/>
          <w:szCs w:val="22"/>
        </w:rPr>
        <w:t>。</w:t>
      </w:r>
      <w:r w:rsidRPr="00094226">
        <w:rPr>
          <w:szCs w:val="22"/>
        </w:rPr>
        <w:t>2009</w:t>
      </w:r>
      <w:r w:rsidRPr="00094226">
        <w:rPr>
          <w:szCs w:val="22"/>
        </w:rPr>
        <w:t>年以来，在扩张性经济政策主导下，伴随投资快速增长，</w:t>
      </w:r>
      <w:r>
        <w:rPr>
          <w:rFonts w:hint="eastAsia"/>
        </w:rPr>
        <w:t>政府债务和</w:t>
      </w:r>
      <w:proofErr w:type="gramStart"/>
      <w:r>
        <w:rPr>
          <w:rFonts w:hint="eastAsia"/>
        </w:rPr>
        <w:t>或</w:t>
      </w:r>
      <w:proofErr w:type="gramEnd"/>
      <w:r>
        <w:rPr>
          <w:rFonts w:hint="eastAsia"/>
        </w:rPr>
        <w:t>有债务</w:t>
      </w:r>
      <w:r w:rsidRPr="00094226">
        <w:rPr>
          <w:szCs w:val="22"/>
        </w:rPr>
        <w:t>规模急剧增长。为化解地方债务风险，</w:t>
      </w:r>
      <w:r w:rsidRPr="00094226">
        <w:rPr>
          <w:szCs w:val="22"/>
        </w:rPr>
        <w:t>2014</w:t>
      </w:r>
      <w:r w:rsidRPr="00094226">
        <w:rPr>
          <w:szCs w:val="22"/>
        </w:rPr>
        <w:t>年中央全面启动深化财税体制改革，系列政策文件相继发布。</w:t>
      </w:r>
      <w:r w:rsidRPr="00094226">
        <w:rPr>
          <w:szCs w:val="22"/>
        </w:rPr>
        <w:t>2014</w:t>
      </w:r>
      <w:r w:rsidRPr="00094226">
        <w:rPr>
          <w:szCs w:val="22"/>
        </w:rPr>
        <w:t>年</w:t>
      </w:r>
      <w:r w:rsidRPr="00094226">
        <w:rPr>
          <w:szCs w:val="22"/>
        </w:rPr>
        <w:t>8</w:t>
      </w:r>
      <w:r>
        <w:rPr>
          <w:szCs w:val="22"/>
        </w:rPr>
        <w:t>月</w:t>
      </w:r>
      <w:r>
        <w:rPr>
          <w:rFonts w:hint="eastAsia"/>
          <w:szCs w:val="22"/>
        </w:rPr>
        <w:t>末</w:t>
      </w:r>
      <w:r w:rsidRPr="00094226">
        <w:rPr>
          <w:szCs w:val="22"/>
        </w:rPr>
        <w:t>，我国《预算法修正案》通过四审审核，</w:t>
      </w:r>
      <w:r w:rsidRPr="00140A64">
        <w:rPr>
          <w:szCs w:val="22"/>
        </w:rPr>
        <w:t>允许省级地</w:t>
      </w:r>
      <w:r w:rsidRPr="00094226">
        <w:rPr>
          <w:szCs w:val="22"/>
        </w:rPr>
        <w:t>方政府在国务院限额内发行地方政府债券用于部分资本性支出。在《预算法修正案》出台后，国务院出台了《国务院关于加强地方政府性债务管理意见》（国发〔</w:t>
      </w:r>
      <w:r w:rsidRPr="00094226">
        <w:rPr>
          <w:szCs w:val="22"/>
        </w:rPr>
        <w:t>2014</w:t>
      </w:r>
      <w:r w:rsidRPr="00094226">
        <w:rPr>
          <w:szCs w:val="22"/>
        </w:rPr>
        <w:t>〕</w:t>
      </w:r>
      <w:r w:rsidRPr="00094226">
        <w:rPr>
          <w:szCs w:val="22"/>
        </w:rPr>
        <w:t>43</w:t>
      </w:r>
      <w:r w:rsidRPr="00094226">
        <w:rPr>
          <w:szCs w:val="22"/>
        </w:rPr>
        <w:t>号）、《国务院关于深化预算管理制度改革的决定》（国发〔</w:t>
      </w:r>
      <w:r w:rsidRPr="00094226">
        <w:rPr>
          <w:szCs w:val="22"/>
        </w:rPr>
        <w:t>2014</w:t>
      </w:r>
      <w:r w:rsidRPr="00094226">
        <w:rPr>
          <w:szCs w:val="22"/>
        </w:rPr>
        <w:t>〕</w:t>
      </w:r>
      <w:r w:rsidRPr="00094226">
        <w:rPr>
          <w:szCs w:val="22"/>
        </w:rPr>
        <w:t>45</w:t>
      </w:r>
      <w:r w:rsidRPr="00094226">
        <w:rPr>
          <w:szCs w:val="22"/>
        </w:rPr>
        <w:t>号），要求</w:t>
      </w:r>
      <w:r>
        <w:rPr>
          <w:rFonts w:hint="eastAsia"/>
          <w:szCs w:val="22"/>
        </w:rPr>
        <w:t>“</w:t>
      </w:r>
      <w:r w:rsidRPr="00094226">
        <w:rPr>
          <w:szCs w:val="22"/>
        </w:rPr>
        <w:t>赋予省级地方政府依法适度举债融资权限，对地方政府债务实行规模控制和预算管理，控制和化解地方政府债务风险，妥善处理存量债务和在建项目后续融资，剥离融资平台政府融资职能</w:t>
      </w:r>
      <w:r>
        <w:rPr>
          <w:rFonts w:hint="eastAsia"/>
          <w:szCs w:val="22"/>
        </w:rPr>
        <w:t>”</w:t>
      </w:r>
      <w:r w:rsidRPr="00094226">
        <w:rPr>
          <w:szCs w:val="22"/>
        </w:rPr>
        <w:t>。与此同时财政部出台了《地方政府债务纳入预算管理的甄别方法》（财预〔</w:t>
      </w:r>
      <w:r w:rsidRPr="00094226">
        <w:rPr>
          <w:szCs w:val="22"/>
        </w:rPr>
        <w:t>2014</w:t>
      </w:r>
      <w:r w:rsidRPr="00094226">
        <w:rPr>
          <w:szCs w:val="22"/>
        </w:rPr>
        <w:t>〕</w:t>
      </w:r>
      <w:r w:rsidRPr="00094226">
        <w:rPr>
          <w:szCs w:val="22"/>
        </w:rPr>
        <w:t>351</w:t>
      </w:r>
      <w:r w:rsidRPr="00094226">
        <w:rPr>
          <w:szCs w:val="22"/>
        </w:rPr>
        <w:t>号），要求</w:t>
      </w:r>
      <w:r>
        <w:rPr>
          <w:rFonts w:hint="eastAsia"/>
          <w:szCs w:val="22"/>
        </w:rPr>
        <w:t>“</w:t>
      </w:r>
      <w:r w:rsidRPr="00094226">
        <w:rPr>
          <w:szCs w:val="22"/>
        </w:rPr>
        <w:t>清理存量债务，甄别政府债务，将政府债务甄别为一般债务和专项债务，将政府存量债务分类纳入预算管理</w:t>
      </w:r>
      <w:r>
        <w:rPr>
          <w:rFonts w:hint="eastAsia"/>
          <w:szCs w:val="22"/>
        </w:rPr>
        <w:t>”</w:t>
      </w:r>
      <w:r w:rsidRPr="00094226">
        <w:rPr>
          <w:szCs w:val="22"/>
        </w:rPr>
        <w:t>。</w:t>
      </w:r>
      <w:r w:rsidRPr="003B43E5">
        <w:rPr>
          <w:rFonts w:hint="eastAsia"/>
          <w:szCs w:val="22"/>
        </w:rPr>
        <w:t>2015</w:t>
      </w:r>
      <w:r w:rsidRPr="003B43E5">
        <w:rPr>
          <w:rFonts w:hint="eastAsia"/>
          <w:szCs w:val="22"/>
        </w:rPr>
        <w:t>年</w:t>
      </w:r>
      <w:r w:rsidRPr="003B43E5">
        <w:rPr>
          <w:rFonts w:hint="eastAsia"/>
          <w:szCs w:val="22"/>
        </w:rPr>
        <w:t>8</w:t>
      </w:r>
      <w:r w:rsidRPr="003B43E5">
        <w:rPr>
          <w:rFonts w:hint="eastAsia"/>
          <w:szCs w:val="22"/>
        </w:rPr>
        <w:t>月</w:t>
      </w:r>
      <w:r w:rsidRPr="003B43E5">
        <w:rPr>
          <w:rFonts w:hint="eastAsia"/>
          <w:szCs w:val="22"/>
        </w:rPr>
        <w:t>29</w:t>
      </w:r>
      <w:r w:rsidRPr="003B43E5">
        <w:rPr>
          <w:rFonts w:hint="eastAsia"/>
          <w:szCs w:val="22"/>
        </w:rPr>
        <w:t>日全国人大常委会批准了关于《国务院关于提请审议批准</w:t>
      </w:r>
      <w:r w:rsidRPr="003B43E5">
        <w:rPr>
          <w:rFonts w:hint="eastAsia"/>
          <w:szCs w:val="22"/>
        </w:rPr>
        <w:t>2015</w:t>
      </w:r>
      <w:r w:rsidRPr="003B43E5">
        <w:rPr>
          <w:rFonts w:hint="eastAsia"/>
          <w:szCs w:val="22"/>
        </w:rPr>
        <w:t>年地方政府债务限额的议案》的决议，其中披露了截至</w:t>
      </w:r>
      <w:r w:rsidRPr="003B43E5">
        <w:rPr>
          <w:rFonts w:hint="eastAsia"/>
          <w:szCs w:val="22"/>
        </w:rPr>
        <w:t>2014</w:t>
      </w:r>
      <w:r w:rsidRPr="003B43E5">
        <w:rPr>
          <w:rFonts w:hint="eastAsia"/>
          <w:szCs w:val="22"/>
        </w:rPr>
        <w:t>年底地方政府债务甄别结果，</w:t>
      </w:r>
      <w:r w:rsidRPr="003B43E5">
        <w:rPr>
          <w:rFonts w:hint="eastAsia"/>
          <w:szCs w:val="22"/>
        </w:rPr>
        <w:t>2014</w:t>
      </w:r>
      <w:r w:rsidRPr="003B43E5">
        <w:rPr>
          <w:rFonts w:hint="eastAsia"/>
          <w:szCs w:val="22"/>
        </w:rPr>
        <w:t>年底地方政府负有偿还责任的债务为</w:t>
      </w:r>
      <w:r w:rsidRPr="003B43E5">
        <w:rPr>
          <w:rFonts w:hint="eastAsia"/>
          <w:szCs w:val="22"/>
        </w:rPr>
        <w:t>15.40</w:t>
      </w:r>
      <w:proofErr w:type="gramStart"/>
      <w:r w:rsidRPr="003B43E5">
        <w:rPr>
          <w:rFonts w:hint="eastAsia"/>
          <w:szCs w:val="22"/>
        </w:rPr>
        <w:t>万亿</w:t>
      </w:r>
      <w:proofErr w:type="gramEnd"/>
      <w:r w:rsidRPr="003B43E5">
        <w:rPr>
          <w:rFonts w:hint="eastAsia"/>
          <w:szCs w:val="22"/>
        </w:rPr>
        <w:t>元，地方政府或有债务为</w:t>
      </w:r>
      <w:r w:rsidRPr="003B43E5">
        <w:rPr>
          <w:rFonts w:hint="eastAsia"/>
          <w:szCs w:val="22"/>
        </w:rPr>
        <w:t>8.60</w:t>
      </w:r>
      <w:proofErr w:type="gramStart"/>
      <w:r>
        <w:rPr>
          <w:rFonts w:hint="eastAsia"/>
          <w:szCs w:val="22"/>
        </w:rPr>
        <w:t>万</w:t>
      </w:r>
      <w:r w:rsidRPr="003B43E5">
        <w:rPr>
          <w:rFonts w:hint="eastAsia"/>
          <w:szCs w:val="22"/>
        </w:rPr>
        <w:t>亿</w:t>
      </w:r>
      <w:proofErr w:type="gramEnd"/>
      <w:r w:rsidRPr="003B43E5">
        <w:rPr>
          <w:rFonts w:hint="eastAsia"/>
          <w:szCs w:val="22"/>
        </w:rPr>
        <w:t>元，</w:t>
      </w:r>
      <w:r w:rsidRPr="003B43E5">
        <w:rPr>
          <w:szCs w:val="22"/>
        </w:rPr>
        <w:t>新增地方政府性融资需求将由省级地方政府通过发行债券进行筹资，存量政府债务和新增政府债务将纳入预算管理</w:t>
      </w:r>
      <w:r w:rsidRPr="003B43E5">
        <w:rPr>
          <w:rFonts w:hint="eastAsia"/>
          <w:szCs w:val="22"/>
        </w:rPr>
        <w:t>，融资平台形成的债务将不再纳入</w:t>
      </w:r>
      <w:r>
        <w:rPr>
          <w:rFonts w:hint="eastAsia"/>
        </w:rPr>
        <w:t>政府债务</w:t>
      </w:r>
      <w:r w:rsidRPr="003B43E5">
        <w:rPr>
          <w:szCs w:val="22"/>
        </w:rPr>
        <w:t>。</w:t>
      </w:r>
      <w:r w:rsidRPr="00954ED1">
        <w:rPr>
          <w:szCs w:val="22"/>
        </w:rPr>
        <w:t>2015</w:t>
      </w:r>
      <w:r w:rsidRPr="00954ED1">
        <w:rPr>
          <w:rFonts w:hint="eastAsia"/>
          <w:szCs w:val="22"/>
        </w:rPr>
        <w:t>年</w:t>
      </w:r>
      <w:r w:rsidRPr="00954ED1">
        <w:rPr>
          <w:szCs w:val="22"/>
        </w:rPr>
        <w:t>12</w:t>
      </w:r>
      <w:r w:rsidRPr="00954ED1">
        <w:rPr>
          <w:rFonts w:hint="eastAsia"/>
          <w:szCs w:val="22"/>
        </w:rPr>
        <w:t>月</w:t>
      </w:r>
      <w:r w:rsidRPr="00954ED1">
        <w:rPr>
          <w:szCs w:val="22"/>
        </w:rPr>
        <w:t>22</w:t>
      </w:r>
      <w:r w:rsidRPr="00954ED1">
        <w:rPr>
          <w:rFonts w:hint="eastAsia"/>
          <w:szCs w:val="22"/>
        </w:rPr>
        <w:t>日，全国人大预算工作委员会作《关于规范地方政府债务管理工作情况的调研报告》，披露了截至</w:t>
      </w:r>
      <w:r w:rsidRPr="00954ED1">
        <w:rPr>
          <w:szCs w:val="22"/>
        </w:rPr>
        <w:t>2014</w:t>
      </w:r>
      <w:r w:rsidRPr="00954ED1">
        <w:rPr>
          <w:rFonts w:hint="eastAsia"/>
          <w:szCs w:val="22"/>
        </w:rPr>
        <w:t>年底地方政府债务总额、债务层级、举债资金来源、资金用途、债务期限结构、债务负担等数据。</w:t>
      </w:r>
      <w:r w:rsidRPr="00954ED1">
        <w:rPr>
          <w:rFonts w:hint="eastAsia"/>
          <w:szCs w:val="22"/>
        </w:rPr>
        <w:t>2015</w:t>
      </w:r>
      <w:r w:rsidRPr="00954ED1">
        <w:rPr>
          <w:rFonts w:hint="eastAsia"/>
          <w:szCs w:val="22"/>
        </w:rPr>
        <w:t>年作为地方政府债自发自还元年，全国</w:t>
      </w:r>
      <w:r w:rsidRPr="00954ED1">
        <w:rPr>
          <w:rFonts w:hint="eastAsia"/>
          <w:szCs w:val="22"/>
        </w:rPr>
        <w:t>30</w:t>
      </w:r>
      <w:r w:rsidRPr="00954ED1">
        <w:rPr>
          <w:rFonts w:hint="eastAsia"/>
          <w:szCs w:val="22"/>
        </w:rPr>
        <w:t>个省级政府和</w:t>
      </w:r>
      <w:r w:rsidRPr="00954ED1">
        <w:rPr>
          <w:rFonts w:hint="eastAsia"/>
          <w:szCs w:val="22"/>
        </w:rPr>
        <w:t>4</w:t>
      </w:r>
      <w:r w:rsidRPr="00954ED1">
        <w:rPr>
          <w:rFonts w:hint="eastAsia"/>
          <w:szCs w:val="22"/>
        </w:rPr>
        <w:t>个计划单列市（除西藏和深圳）累计发行地方政府债</w:t>
      </w:r>
      <w:r w:rsidRPr="00954ED1">
        <w:rPr>
          <w:rFonts w:hint="eastAsia"/>
          <w:szCs w:val="22"/>
        </w:rPr>
        <w:t>3.8</w:t>
      </w:r>
      <w:r>
        <w:rPr>
          <w:rFonts w:hint="eastAsia"/>
          <w:szCs w:val="22"/>
        </w:rPr>
        <w:t>0</w:t>
      </w:r>
      <w:proofErr w:type="gramStart"/>
      <w:r w:rsidRPr="00954ED1">
        <w:rPr>
          <w:rFonts w:hint="eastAsia"/>
          <w:szCs w:val="22"/>
        </w:rPr>
        <w:t>万亿</w:t>
      </w:r>
      <w:proofErr w:type="gramEnd"/>
      <w:r w:rsidRPr="00954ED1">
        <w:rPr>
          <w:rFonts w:hint="eastAsia"/>
          <w:szCs w:val="22"/>
        </w:rPr>
        <w:t>，</w:t>
      </w:r>
      <w:r w:rsidRPr="00954ED1">
        <w:rPr>
          <w:rFonts w:hint="eastAsia"/>
          <w:szCs w:val="21"/>
        </w:rPr>
        <w:t>有利于地方政府债务风险的化解。</w:t>
      </w:r>
      <w:r w:rsidRPr="00954ED1">
        <w:rPr>
          <w:rFonts w:hint="eastAsia"/>
          <w:szCs w:val="22"/>
        </w:rPr>
        <w:t>2016</w:t>
      </w:r>
      <w:r w:rsidRPr="00954ED1">
        <w:rPr>
          <w:rFonts w:hint="eastAsia"/>
          <w:szCs w:val="22"/>
        </w:rPr>
        <w:t>年</w:t>
      </w:r>
      <w:r w:rsidRPr="00954ED1">
        <w:rPr>
          <w:rFonts w:hint="eastAsia"/>
          <w:szCs w:val="22"/>
        </w:rPr>
        <w:t>1</w:t>
      </w:r>
      <w:r w:rsidRPr="00954ED1">
        <w:rPr>
          <w:rFonts w:hint="eastAsia"/>
          <w:szCs w:val="22"/>
        </w:rPr>
        <w:t>月，财政部财预</w:t>
      </w:r>
      <w:r w:rsidRPr="00094226">
        <w:rPr>
          <w:szCs w:val="22"/>
        </w:rPr>
        <w:t>〔</w:t>
      </w:r>
      <w:r w:rsidRPr="00954ED1">
        <w:rPr>
          <w:rFonts w:hint="eastAsia"/>
          <w:szCs w:val="22"/>
        </w:rPr>
        <w:t>2015</w:t>
      </w:r>
      <w:r w:rsidRPr="00094226">
        <w:rPr>
          <w:szCs w:val="22"/>
        </w:rPr>
        <w:t>〕</w:t>
      </w:r>
      <w:r w:rsidRPr="00954ED1">
        <w:rPr>
          <w:rFonts w:hint="eastAsia"/>
          <w:szCs w:val="22"/>
        </w:rPr>
        <w:t>225</w:t>
      </w:r>
      <w:r w:rsidRPr="00954ED1">
        <w:rPr>
          <w:rFonts w:hint="eastAsia"/>
          <w:szCs w:val="22"/>
        </w:rPr>
        <w:t>号出台，提出对地方政府债务实行限</w:t>
      </w:r>
      <w:r w:rsidRPr="00954ED1">
        <w:rPr>
          <w:rFonts w:hint="eastAsia"/>
          <w:szCs w:val="22"/>
        </w:rPr>
        <w:lastRenderedPageBreak/>
        <w:t>额管理，明确了地方政府限额确定的程序、方式及类别，明确省级和计划单列市地方政府为债务的举借主体。同时，从建立债务预警指标体系、风险化解应急处置机制和监督考核问责机制等方面加强对地方政府债务的管理。</w:t>
      </w:r>
      <w:r w:rsidRPr="00954ED1">
        <w:rPr>
          <w:rFonts w:hint="eastAsia"/>
          <w:bCs/>
        </w:rPr>
        <w:t>此外，还强调了对存量债务和</w:t>
      </w:r>
      <w:proofErr w:type="gramStart"/>
      <w:r w:rsidRPr="00954ED1">
        <w:rPr>
          <w:rFonts w:hint="eastAsia"/>
          <w:bCs/>
        </w:rPr>
        <w:t>或</w:t>
      </w:r>
      <w:proofErr w:type="gramEnd"/>
      <w:r w:rsidRPr="00954ED1">
        <w:rPr>
          <w:rFonts w:hint="eastAsia"/>
          <w:bCs/>
        </w:rPr>
        <w:t>有债务的妥</w:t>
      </w:r>
      <w:r w:rsidRPr="00954ED1">
        <w:rPr>
          <w:rFonts w:hint="eastAsia"/>
          <w:szCs w:val="22"/>
        </w:rPr>
        <w:t>善处理，明确了对或有债务的处置原则和方式。同月，财政部财库〔</w:t>
      </w:r>
      <w:r w:rsidRPr="00954ED1">
        <w:rPr>
          <w:rFonts w:hint="eastAsia"/>
          <w:szCs w:val="22"/>
        </w:rPr>
        <w:t>2016</w:t>
      </w:r>
      <w:r w:rsidRPr="00954ED1">
        <w:rPr>
          <w:rFonts w:hint="eastAsia"/>
          <w:szCs w:val="22"/>
        </w:rPr>
        <w:t>〕</w:t>
      </w:r>
      <w:r w:rsidRPr="00954ED1">
        <w:rPr>
          <w:rFonts w:hint="eastAsia"/>
          <w:szCs w:val="22"/>
        </w:rPr>
        <w:t>22</w:t>
      </w:r>
      <w:r w:rsidRPr="00954ED1">
        <w:rPr>
          <w:rFonts w:hint="eastAsia"/>
          <w:szCs w:val="22"/>
        </w:rPr>
        <w:t>号文出台，在重视信用评级工作、把</w:t>
      </w:r>
      <w:proofErr w:type="gramStart"/>
      <w:r w:rsidRPr="00954ED1">
        <w:rPr>
          <w:rFonts w:hint="eastAsia"/>
          <w:szCs w:val="22"/>
        </w:rPr>
        <w:t>控发行</w:t>
      </w:r>
      <w:proofErr w:type="gramEnd"/>
      <w:r w:rsidRPr="00954ED1">
        <w:rPr>
          <w:rFonts w:hint="eastAsia"/>
          <w:szCs w:val="22"/>
        </w:rPr>
        <w:t>节奏、提高市场流动性、完善信息披露、合</w:t>
      </w:r>
      <w:proofErr w:type="gramStart"/>
      <w:r w:rsidRPr="00954ED1">
        <w:rPr>
          <w:rFonts w:hint="eastAsia"/>
          <w:szCs w:val="22"/>
        </w:rPr>
        <w:t>规</w:t>
      </w:r>
      <w:proofErr w:type="gramEnd"/>
      <w:r w:rsidRPr="00954ED1">
        <w:rPr>
          <w:rFonts w:hint="eastAsia"/>
          <w:szCs w:val="22"/>
        </w:rPr>
        <w:t>性等方面进行了完善和细化，有利于</w:t>
      </w:r>
      <w:r w:rsidRPr="00954ED1">
        <w:rPr>
          <w:szCs w:val="22"/>
        </w:rPr>
        <w:t>2016</w:t>
      </w:r>
      <w:r w:rsidRPr="00954ED1">
        <w:rPr>
          <w:rFonts w:hint="eastAsia"/>
          <w:szCs w:val="22"/>
        </w:rPr>
        <w:t>年地方债平稳、顺利地发行。</w:t>
      </w:r>
      <w:r w:rsidRPr="00954ED1">
        <w:rPr>
          <w:szCs w:val="22"/>
        </w:rPr>
        <w:t>由此，地方政府债务融资</w:t>
      </w:r>
      <w:r w:rsidRPr="00954ED1">
        <w:rPr>
          <w:rFonts w:hint="eastAsia"/>
          <w:szCs w:val="22"/>
        </w:rPr>
        <w:t>将更趋于</w:t>
      </w:r>
      <w:r w:rsidRPr="00954ED1">
        <w:rPr>
          <w:szCs w:val="22"/>
        </w:rPr>
        <w:t>规范、透明，同时债务融资压力将有所缓解，债务增速将明显下降，融资成本将有所降低。整体看，我国地方政府债务风险总体可控，但需关注处于城镇</w:t>
      </w:r>
      <w:proofErr w:type="gramStart"/>
      <w:r w:rsidRPr="00954ED1">
        <w:rPr>
          <w:szCs w:val="22"/>
        </w:rPr>
        <w:t>化快速</w:t>
      </w:r>
      <w:proofErr w:type="gramEnd"/>
      <w:r w:rsidRPr="00954ED1">
        <w:rPr>
          <w:szCs w:val="22"/>
        </w:rPr>
        <w:t>发展阶段的地区，其未来投资增速和政府债务规模增速或将快于其他地区</w:t>
      </w:r>
      <w:r w:rsidRPr="003B43E5">
        <w:rPr>
          <w:szCs w:val="22"/>
        </w:rPr>
        <w:t>。</w:t>
      </w:r>
    </w:p>
    <w:p w:rsidR="00486F91" w:rsidRPr="00094226" w:rsidRDefault="00486F91" w:rsidP="00486F91">
      <w:pPr>
        <w:adjustRightInd w:val="0"/>
        <w:snapToGrid w:val="0"/>
        <w:spacing w:beforeLines="100" w:before="312" w:afterLines="50" w:after="156"/>
        <w:outlineLvl w:val="0"/>
        <w:rPr>
          <w:rFonts w:eastAsia="黑体"/>
          <w:b/>
          <w:sz w:val="24"/>
          <w:lang w:val="x-none" w:eastAsia="x-none"/>
        </w:rPr>
      </w:pPr>
      <w:r w:rsidRPr="00094226">
        <w:rPr>
          <w:rFonts w:eastAsia="黑体"/>
          <w:b/>
          <w:sz w:val="24"/>
          <w:lang w:val="x-none"/>
        </w:rPr>
        <w:t>二、地区</w:t>
      </w:r>
      <w:proofErr w:type="spellStart"/>
      <w:r w:rsidRPr="00094226">
        <w:rPr>
          <w:rFonts w:eastAsia="黑体"/>
          <w:b/>
          <w:sz w:val="24"/>
          <w:lang w:val="x-none" w:eastAsia="x-none"/>
        </w:rPr>
        <w:t>经济实力分析</w:t>
      </w:r>
      <w:proofErr w:type="spellEnd"/>
    </w:p>
    <w:p w:rsidR="00486F91" w:rsidRPr="00094226" w:rsidRDefault="00486F91" w:rsidP="00486F91">
      <w:pPr>
        <w:adjustRightInd w:val="0"/>
        <w:snapToGrid w:val="0"/>
        <w:spacing w:beforeLines="50" w:before="156" w:afterLines="50" w:after="156"/>
        <w:rPr>
          <w:rFonts w:eastAsia="黑体"/>
          <w:b/>
          <w:szCs w:val="21"/>
        </w:rPr>
      </w:pPr>
      <w:r w:rsidRPr="00094226">
        <w:rPr>
          <w:rFonts w:eastAsia="黑体"/>
          <w:b/>
          <w:szCs w:val="21"/>
        </w:rPr>
        <w:t>江苏省地处长江三角洲，交通发达，科教资源全国领先；近年来</w:t>
      </w:r>
      <w:r>
        <w:rPr>
          <w:rFonts w:eastAsia="黑体" w:hint="eastAsia"/>
          <w:b/>
          <w:szCs w:val="21"/>
        </w:rPr>
        <w:t>在转型中保持</w:t>
      </w:r>
      <w:r w:rsidRPr="00094226">
        <w:rPr>
          <w:rFonts w:eastAsia="黑体"/>
          <w:b/>
          <w:szCs w:val="21"/>
        </w:rPr>
        <w:t>经济平稳</w:t>
      </w:r>
      <w:r>
        <w:rPr>
          <w:rFonts w:eastAsia="黑体" w:hint="eastAsia"/>
          <w:b/>
          <w:szCs w:val="21"/>
        </w:rPr>
        <w:t>较快增长</w:t>
      </w:r>
      <w:r w:rsidRPr="00094226">
        <w:rPr>
          <w:rFonts w:eastAsia="黑体"/>
          <w:b/>
          <w:szCs w:val="21"/>
        </w:rPr>
        <w:t>，消费对经济拉动作用逐步增强，</w:t>
      </w:r>
      <w:r w:rsidRPr="00F556AF">
        <w:rPr>
          <w:rFonts w:eastAsia="黑体" w:hint="eastAsia"/>
          <w:b/>
          <w:szCs w:val="21"/>
        </w:rPr>
        <w:t>区域创新能力较强</w:t>
      </w:r>
      <w:r w:rsidRPr="00094226">
        <w:rPr>
          <w:rFonts w:eastAsia="黑体"/>
          <w:b/>
          <w:szCs w:val="21"/>
        </w:rPr>
        <w:t>；未来围绕</w:t>
      </w:r>
      <w:r>
        <w:rPr>
          <w:rFonts w:eastAsia="黑体" w:hint="eastAsia"/>
          <w:b/>
          <w:szCs w:val="21"/>
        </w:rPr>
        <w:t>“</w:t>
      </w:r>
      <w:r w:rsidRPr="00094226">
        <w:rPr>
          <w:rFonts w:eastAsia="黑体"/>
          <w:b/>
          <w:szCs w:val="21"/>
        </w:rPr>
        <w:t>迈上新台阶、建设新江苏</w:t>
      </w:r>
      <w:r>
        <w:rPr>
          <w:rFonts w:eastAsia="黑体" w:hint="eastAsia"/>
          <w:b/>
          <w:szCs w:val="21"/>
        </w:rPr>
        <w:t>”</w:t>
      </w:r>
      <w:r w:rsidRPr="00094226">
        <w:rPr>
          <w:rFonts w:eastAsia="黑体"/>
          <w:b/>
          <w:szCs w:val="21"/>
        </w:rPr>
        <w:t>战略，基于较强的内生发展动力</w:t>
      </w:r>
      <w:r>
        <w:rPr>
          <w:rFonts w:eastAsia="黑体" w:hint="eastAsia"/>
          <w:b/>
          <w:szCs w:val="21"/>
        </w:rPr>
        <w:t>、</w:t>
      </w:r>
      <w:r w:rsidRPr="00552897">
        <w:rPr>
          <w:rFonts w:eastAsia="黑体" w:hint="eastAsia"/>
          <w:b/>
          <w:szCs w:val="21"/>
        </w:rPr>
        <w:t>深入落实“长江经济带”</w:t>
      </w:r>
      <w:r>
        <w:rPr>
          <w:rFonts w:eastAsia="黑体" w:hint="eastAsia"/>
          <w:b/>
          <w:szCs w:val="21"/>
        </w:rPr>
        <w:t>、</w:t>
      </w:r>
      <w:r w:rsidRPr="00552897">
        <w:rPr>
          <w:rFonts w:eastAsia="黑体" w:hint="eastAsia"/>
          <w:b/>
          <w:szCs w:val="21"/>
        </w:rPr>
        <w:t>“新型城镇化综合试点”等</w:t>
      </w:r>
      <w:r>
        <w:rPr>
          <w:rFonts w:eastAsia="黑体" w:hint="eastAsia"/>
          <w:b/>
          <w:szCs w:val="21"/>
        </w:rPr>
        <w:t>国家战略</w:t>
      </w:r>
      <w:r w:rsidRPr="00D15D33">
        <w:rPr>
          <w:rFonts w:eastAsia="黑体"/>
          <w:b/>
          <w:szCs w:val="21"/>
        </w:rPr>
        <w:t>，江苏省经济将</w:t>
      </w:r>
      <w:r w:rsidRPr="00094226">
        <w:rPr>
          <w:rFonts w:eastAsia="黑体"/>
          <w:b/>
          <w:szCs w:val="21"/>
        </w:rPr>
        <w:t>继续保持平稳</w:t>
      </w:r>
      <w:r>
        <w:rPr>
          <w:rFonts w:eastAsia="黑体" w:hint="eastAsia"/>
          <w:b/>
          <w:szCs w:val="21"/>
        </w:rPr>
        <w:t>、健康</w:t>
      </w:r>
      <w:r w:rsidRPr="00094226">
        <w:rPr>
          <w:rFonts w:eastAsia="黑体"/>
          <w:b/>
          <w:szCs w:val="21"/>
        </w:rPr>
        <w:t>增长</w:t>
      </w:r>
    </w:p>
    <w:p w:rsidR="00486F91" w:rsidRPr="00094226" w:rsidRDefault="00486F91" w:rsidP="00486F91">
      <w:pPr>
        <w:spacing w:line="300" w:lineRule="auto"/>
        <w:ind w:firstLineChars="200" w:firstLine="422"/>
      </w:pPr>
      <w:r w:rsidRPr="00094226">
        <w:rPr>
          <w:b/>
        </w:rPr>
        <w:t>地理位置优越，交通发达，科教资源领先。</w:t>
      </w:r>
      <w:r w:rsidRPr="00735CC2">
        <w:rPr>
          <w:szCs w:val="22"/>
        </w:rPr>
        <w:t>江苏省地</w:t>
      </w:r>
      <w:r w:rsidRPr="000F547B">
        <w:rPr>
          <w:szCs w:val="22"/>
        </w:rPr>
        <w:t>处中国经济最为发达和活跃的长</w:t>
      </w:r>
      <w:r w:rsidRPr="00735CC2">
        <w:rPr>
          <w:szCs w:val="22"/>
        </w:rPr>
        <w:t>江</w:t>
      </w:r>
      <w:r w:rsidRPr="000F547B">
        <w:rPr>
          <w:szCs w:val="22"/>
        </w:rPr>
        <w:t>三角洲，其位于</w:t>
      </w:r>
      <w:r w:rsidRPr="000F547B">
        <w:rPr>
          <w:rFonts w:hint="eastAsia"/>
          <w:szCs w:val="22"/>
        </w:rPr>
        <w:t>“</w:t>
      </w:r>
      <w:r w:rsidRPr="00B967C4">
        <w:rPr>
          <w:szCs w:val="22"/>
        </w:rPr>
        <w:t>T</w:t>
      </w:r>
      <w:r w:rsidRPr="00B967C4">
        <w:rPr>
          <w:rFonts w:hint="eastAsia"/>
          <w:szCs w:val="22"/>
        </w:rPr>
        <w:t>”</w:t>
      </w:r>
      <w:r w:rsidRPr="00B967C4">
        <w:rPr>
          <w:szCs w:val="22"/>
        </w:rPr>
        <w:t>字型生产力分布的结合部，是上海对内</w:t>
      </w:r>
      <w:proofErr w:type="gramStart"/>
      <w:r w:rsidRPr="00B967C4">
        <w:rPr>
          <w:szCs w:val="22"/>
        </w:rPr>
        <w:t>地区域</w:t>
      </w:r>
      <w:proofErr w:type="gramEnd"/>
      <w:r w:rsidRPr="00B967C4">
        <w:rPr>
          <w:szCs w:val="22"/>
        </w:rPr>
        <w:t>辐射的必经之地。基于得天独厚的区位优势，江苏省目前已形成较完善的综合交通体系。</w:t>
      </w:r>
      <w:r w:rsidRPr="00036918">
        <w:rPr>
          <w:szCs w:val="22"/>
        </w:rPr>
        <w:t>截至</w:t>
      </w:r>
      <w:r w:rsidRPr="00036918">
        <w:rPr>
          <w:szCs w:val="22"/>
        </w:rPr>
        <w:t>201</w:t>
      </w:r>
      <w:r>
        <w:rPr>
          <w:rFonts w:hint="eastAsia"/>
          <w:szCs w:val="22"/>
        </w:rPr>
        <w:t>5</w:t>
      </w:r>
      <w:r w:rsidRPr="00036918">
        <w:rPr>
          <w:szCs w:val="22"/>
        </w:rPr>
        <w:t>年末，江苏省公路密度和高速公路密度分别为</w:t>
      </w:r>
      <w:r w:rsidRPr="002628A2">
        <w:rPr>
          <w:szCs w:val="22"/>
        </w:rPr>
        <w:t>148.32</w:t>
      </w:r>
      <w:r w:rsidRPr="00036918">
        <w:rPr>
          <w:szCs w:val="22"/>
        </w:rPr>
        <w:t>公里</w:t>
      </w:r>
      <w:r w:rsidRPr="00036918">
        <w:rPr>
          <w:szCs w:val="22"/>
        </w:rPr>
        <w:t>/</w:t>
      </w:r>
      <w:proofErr w:type="gramStart"/>
      <w:r w:rsidRPr="00036918">
        <w:rPr>
          <w:szCs w:val="22"/>
        </w:rPr>
        <w:t>百平方公里</w:t>
      </w:r>
      <w:proofErr w:type="gramEnd"/>
      <w:r w:rsidRPr="00036918">
        <w:rPr>
          <w:szCs w:val="22"/>
        </w:rPr>
        <w:t>和</w:t>
      </w:r>
      <w:r>
        <w:rPr>
          <w:rFonts w:hint="eastAsia"/>
          <w:szCs w:val="22"/>
        </w:rPr>
        <w:t>4.23</w:t>
      </w:r>
      <w:r w:rsidRPr="00036918">
        <w:rPr>
          <w:szCs w:val="22"/>
        </w:rPr>
        <w:t>公里</w:t>
      </w:r>
      <w:r w:rsidRPr="00036918">
        <w:rPr>
          <w:szCs w:val="22"/>
        </w:rPr>
        <w:t>/</w:t>
      </w:r>
      <w:proofErr w:type="gramStart"/>
      <w:r w:rsidRPr="00036918">
        <w:rPr>
          <w:szCs w:val="22"/>
        </w:rPr>
        <w:t>百平方公里</w:t>
      </w:r>
      <w:proofErr w:type="gramEnd"/>
      <w:r w:rsidRPr="00036918">
        <w:rPr>
          <w:szCs w:val="22"/>
        </w:rPr>
        <w:t>，公路建设处于国内前列；沿海及内河港口合计</w:t>
      </w:r>
      <w:r w:rsidRPr="00163E3E">
        <w:rPr>
          <w:szCs w:val="22"/>
        </w:rPr>
        <w:t>21</w:t>
      </w:r>
      <w:r w:rsidRPr="00036918">
        <w:rPr>
          <w:szCs w:val="22"/>
        </w:rPr>
        <w:t>个（连云港、南京等</w:t>
      </w:r>
      <w:r w:rsidRPr="00036918">
        <w:rPr>
          <w:szCs w:val="22"/>
        </w:rPr>
        <w:t>7</w:t>
      </w:r>
      <w:r w:rsidRPr="00036918">
        <w:rPr>
          <w:szCs w:val="22"/>
        </w:rPr>
        <w:t>港吞吐量超亿吨），</w:t>
      </w:r>
      <w:r w:rsidRPr="00036918">
        <w:rPr>
          <w:szCs w:val="22"/>
        </w:rPr>
        <w:t>201</w:t>
      </w:r>
      <w:r>
        <w:rPr>
          <w:rFonts w:hint="eastAsia"/>
          <w:szCs w:val="22"/>
        </w:rPr>
        <w:t>5</w:t>
      </w:r>
      <w:r w:rsidRPr="00036918">
        <w:rPr>
          <w:szCs w:val="22"/>
        </w:rPr>
        <w:t>年完成</w:t>
      </w:r>
      <w:r>
        <w:rPr>
          <w:rFonts w:hint="eastAsia"/>
          <w:szCs w:val="22"/>
        </w:rPr>
        <w:t>规模以上港口</w:t>
      </w:r>
      <w:r w:rsidRPr="00036918">
        <w:rPr>
          <w:szCs w:val="22"/>
        </w:rPr>
        <w:t>货物吞吐量</w:t>
      </w:r>
      <w:r>
        <w:rPr>
          <w:rFonts w:hint="eastAsia"/>
          <w:szCs w:val="22"/>
        </w:rPr>
        <w:t>20.80</w:t>
      </w:r>
      <w:r w:rsidRPr="00036918">
        <w:rPr>
          <w:szCs w:val="22"/>
        </w:rPr>
        <w:t>亿吨，位于全国前列；拥有南京禄口国际机场、徐州观音国际机场等</w:t>
      </w:r>
      <w:r w:rsidRPr="00036918">
        <w:rPr>
          <w:szCs w:val="22"/>
        </w:rPr>
        <w:t>9</w:t>
      </w:r>
      <w:r w:rsidRPr="00036918">
        <w:rPr>
          <w:szCs w:val="22"/>
        </w:rPr>
        <w:t>个民用机场，机场覆盖密度较高；京沪铁路、陇海铁路贯穿境内，其中南京、徐州是重要的铁路枢纽。</w:t>
      </w:r>
      <w:r w:rsidRPr="00131C3E">
        <w:rPr>
          <w:szCs w:val="22"/>
        </w:rPr>
        <w:t>江苏省</w:t>
      </w:r>
      <w:r w:rsidRPr="00131C3E">
        <w:rPr>
          <w:rFonts w:hint="eastAsia"/>
          <w:szCs w:val="22"/>
        </w:rPr>
        <w:t>“</w:t>
      </w:r>
      <w:r w:rsidRPr="00131C3E">
        <w:rPr>
          <w:szCs w:val="22"/>
        </w:rPr>
        <w:t>地狭人稠</w:t>
      </w:r>
      <w:r w:rsidRPr="00131C3E">
        <w:rPr>
          <w:rFonts w:hint="eastAsia"/>
          <w:szCs w:val="22"/>
        </w:rPr>
        <w:t>”</w:t>
      </w:r>
      <w:r w:rsidRPr="00131C3E">
        <w:rPr>
          <w:szCs w:val="22"/>
        </w:rPr>
        <w:t>（国土面积为</w:t>
      </w:r>
      <w:r w:rsidRPr="00131C3E">
        <w:rPr>
          <w:szCs w:val="22"/>
        </w:rPr>
        <w:t>10.</w:t>
      </w:r>
      <w:r>
        <w:rPr>
          <w:rFonts w:hint="eastAsia"/>
          <w:szCs w:val="22"/>
        </w:rPr>
        <w:t>72</w:t>
      </w:r>
      <w:r w:rsidRPr="00131C3E">
        <w:rPr>
          <w:szCs w:val="22"/>
        </w:rPr>
        <w:t>万平方公里，仅占全国的</w:t>
      </w:r>
      <w:r w:rsidRPr="00131C3E">
        <w:rPr>
          <w:szCs w:val="22"/>
        </w:rPr>
        <w:t>1.</w:t>
      </w:r>
      <w:r>
        <w:rPr>
          <w:rFonts w:hint="eastAsia"/>
          <w:szCs w:val="22"/>
        </w:rPr>
        <w:t>10</w:t>
      </w:r>
      <w:r w:rsidRPr="00131C3E">
        <w:rPr>
          <w:szCs w:val="22"/>
        </w:rPr>
        <w:t>%</w:t>
      </w:r>
      <w:r w:rsidRPr="00131C3E">
        <w:rPr>
          <w:szCs w:val="22"/>
        </w:rPr>
        <w:t>），自然资源禀赋一般，但拥有较为丰富的滩涂资源，其滩涂面积约占全国海岸滩涂总面积的</w:t>
      </w:r>
      <w:r w:rsidRPr="00131C3E">
        <w:rPr>
          <w:szCs w:val="22"/>
        </w:rPr>
        <w:t>1/4</w:t>
      </w:r>
      <w:r w:rsidRPr="00131C3E">
        <w:rPr>
          <w:szCs w:val="22"/>
        </w:rPr>
        <w:t>，且教育资源处于全国领先水平，截至</w:t>
      </w:r>
      <w:r w:rsidRPr="00131C3E">
        <w:rPr>
          <w:szCs w:val="22"/>
        </w:rPr>
        <w:t>201</w:t>
      </w:r>
      <w:r>
        <w:rPr>
          <w:rFonts w:hint="eastAsia"/>
          <w:szCs w:val="22"/>
        </w:rPr>
        <w:t>5</w:t>
      </w:r>
      <w:r w:rsidRPr="00131C3E">
        <w:rPr>
          <w:szCs w:val="22"/>
        </w:rPr>
        <w:t>年末，</w:t>
      </w:r>
      <w:r w:rsidRPr="00237DC3">
        <w:rPr>
          <w:rFonts w:hint="eastAsia"/>
          <w:szCs w:val="22"/>
        </w:rPr>
        <w:t>其拥有普通高等教育院校</w:t>
      </w:r>
      <w:r w:rsidRPr="00237DC3">
        <w:rPr>
          <w:szCs w:val="22"/>
        </w:rPr>
        <w:t>13</w:t>
      </w:r>
      <w:r w:rsidRPr="002628A2">
        <w:rPr>
          <w:szCs w:val="22"/>
        </w:rPr>
        <w:t>7</w:t>
      </w:r>
      <w:r w:rsidRPr="00237DC3">
        <w:rPr>
          <w:rFonts w:hint="eastAsia"/>
          <w:szCs w:val="22"/>
        </w:rPr>
        <w:t>所，其中</w:t>
      </w:r>
      <w:r w:rsidRPr="00237DC3">
        <w:rPr>
          <w:szCs w:val="22"/>
        </w:rPr>
        <w:t>211</w:t>
      </w:r>
      <w:r w:rsidRPr="00237DC3">
        <w:rPr>
          <w:rFonts w:hint="eastAsia"/>
          <w:szCs w:val="22"/>
        </w:rPr>
        <w:t>院校</w:t>
      </w:r>
      <w:r w:rsidRPr="00237DC3">
        <w:rPr>
          <w:szCs w:val="22"/>
        </w:rPr>
        <w:t>11</w:t>
      </w:r>
      <w:r w:rsidRPr="00237DC3">
        <w:rPr>
          <w:rFonts w:hint="eastAsia"/>
          <w:szCs w:val="22"/>
        </w:rPr>
        <w:t>所</w:t>
      </w:r>
      <w:r w:rsidRPr="00237DC3">
        <w:rPr>
          <w:szCs w:val="22"/>
        </w:rPr>
        <w:t>。</w:t>
      </w:r>
      <w:r w:rsidRPr="00131C3E">
        <w:rPr>
          <w:szCs w:val="22"/>
        </w:rPr>
        <w:t>江苏省劳动力较充裕，近年来呈现老龄化趋势。</w:t>
      </w:r>
      <w:r w:rsidRPr="00F1377D">
        <w:rPr>
          <w:rFonts w:hint="eastAsia"/>
          <w:szCs w:val="22"/>
        </w:rPr>
        <w:t>截至</w:t>
      </w:r>
      <w:r w:rsidRPr="0056562C">
        <w:rPr>
          <w:szCs w:val="22"/>
        </w:rPr>
        <w:t>201</w:t>
      </w:r>
      <w:r w:rsidRPr="002628A2">
        <w:rPr>
          <w:szCs w:val="22"/>
        </w:rPr>
        <w:t>5</w:t>
      </w:r>
      <w:r w:rsidRPr="00F1377D">
        <w:rPr>
          <w:rFonts w:hint="eastAsia"/>
          <w:szCs w:val="22"/>
        </w:rPr>
        <w:t>年末，江苏省常住人口</w:t>
      </w:r>
      <w:r w:rsidRPr="002628A2">
        <w:rPr>
          <w:szCs w:val="22"/>
        </w:rPr>
        <w:t>7,976.30</w:t>
      </w:r>
      <w:r w:rsidRPr="0056562C">
        <w:rPr>
          <w:rFonts w:hint="eastAsia"/>
          <w:szCs w:val="22"/>
        </w:rPr>
        <w:t>万人，占全国人口的</w:t>
      </w:r>
      <w:r w:rsidRPr="0056562C">
        <w:rPr>
          <w:szCs w:val="22"/>
        </w:rPr>
        <w:t>5.80%</w:t>
      </w:r>
      <w:r w:rsidRPr="0056562C">
        <w:rPr>
          <w:rFonts w:hint="eastAsia"/>
          <w:szCs w:val="22"/>
        </w:rPr>
        <w:t>，</w:t>
      </w:r>
      <w:r w:rsidRPr="0056562C">
        <w:rPr>
          <w:szCs w:val="22"/>
        </w:rPr>
        <w:t>65</w:t>
      </w:r>
      <w:r w:rsidRPr="0056562C">
        <w:rPr>
          <w:rFonts w:hint="eastAsia"/>
          <w:szCs w:val="22"/>
        </w:rPr>
        <w:t>岁及以上年龄占比为</w:t>
      </w:r>
      <w:r w:rsidRPr="0056562C">
        <w:rPr>
          <w:szCs w:val="22"/>
        </w:rPr>
        <w:t>12.</w:t>
      </w:r>
      <w:r w:rsidRPr="002628A2">
        <w:rPr>
          <w:szCs w:val="22"/>
        </w:rPr>
        <w:t>53</w:t>
      </w:r>
      <w:r w:rsidRPr="00F1377D">
        <w:rPr>
          <w:szCs w:val="22"/>
        </w:rPr>
        <w:t>%</w:t>
      </w:r>
      <w:r w:rsidRPr="0056562C">
        <w:rPr>
          <w:rFonts w:hint="eastAsia"/>
        </w:rPr>
        <w:t>。</w:t>
      </w:r>
    </w:p>
    <w:p w:rsidR="00486F91" w:rsidRPr="00F65FC8" w:rsidRDefault="00486F91" w:rsidP="00F65FC8">
      <w:pPr>
        <w:spacing w:line="300" w:lineRule="auto"/>
        <w:ind w:firstLineChars="200" w:firstLine="422"/>
      </w:pPr>
      <w:r w:rsidRPr="00094226">
        <w:rPr>
          <w:b/>
          <w:szCs w:val="21"/>
        </w:rPr>
        <w:t>江苏省是中国经济最发达的省份之一，主要经济指标处于全国各省</w:t>
      </w:r>
      <w:r>
        <w:rPr>
          <w:rFonts w:hint="eastAsia"/>
          <w:b/>
          <w:szCs w:val="21"/>
        </w:rPr>
        <w:t>（自治</w:t>
      </w:r>
      <w:r w:rsidRPr="00094226">
        <w:rPr>
          <w:b/>
          <w:szCs w:val="21"/>
        </w:rPr>
        <w:t>区</w:t>
      </w:r>
      <w:r>
        <w:rPr>
          <w:rFonts w:hint="eastAsia"/>
          <w:b/>
          <w:szCs w:val="21"/>
        </w:rPr>
        <w:t>）</w:t>
      </w:r>
      <w:r w:rsidRPr="00094226">
        <w:rPr>
          <w:b/>
          <w:szCs w:val="21"/>
        </w:rPr>
        <w:t>前列。</w:t>
      </w:r>
      <w:r w:rsidRPr="00094226">
        <w:rPr>
          <w:szCs w:val="21"/>
        </w:rPr>
        <w:t>201</w:t>
      </w:r>
      <w:r>
        <w:rPr>
          <w:rFonts w:hint="eastAsia"/>
          <w:szCs w:val="21"/>
        </w:rPr>
        <w:t>5</w:t>
      </w:r>
      <w:r w:rsidRPr="00094226">
        <w:rPr>
          <w:szCs w:val="21"/>
        </w:rPr>
        <w:t>年实现地区生产总值</w:t>
      </w:r>
      <w:r w:rsidRPr="004625AD">
        <w:rPr>
          <w:szCs w:val="21"/>
        </w:rPr>
        <w:t>70</w:t>
      </w:r>
      <w:r w:rsidRPr="004625AD">
        <w:rPr>
          <w:rFonts w:hint="eastAsia"/>
          <w:szCs w:val="21"/>
        </w:rPr>
        <w:t>,</w:t>
      </w:r>
      <w:r w:rsidRPr="004625AD">
        <w:rPr>
          <w:szCs w:val="21"/>
        </w:rPr>
        <w:t>116.</w:t>
      </w:r>
      <w:r w:rsidR="006B0350">
        <w:rPr>
          <w:rFonts w:hint="eastAsia"/>
          <w:szCs w:val="21"/>
        </w:rPr>
        <w:t>38</w:t>
      </w:r>
      <w:r w:rsidRPr="00094226">
        <w:rPr>
          <w:szCs w:val="21"/>
        </w:rPr>
        <w:t>亿元，人均地区生产总值为</w:t>
      </w:r>
      <w:r w:rsidRPr="002628A2">
        <w:rPr>
          <w:szCs w:val="21"/>
        </w:rPr>
        <w:t>87,995</w:t>
      </w:r>
      <w:r w:rsidRPr="00F37109">
        <w:rPr>
          <w:szCs w:val="21"/>
        </w:rPr>
        <w:t>.00</w:t>
      </w:r>
      <w:r w:rsidRPr="00094226">
        <w:rPr>
          <w:szCs w:val="21"/>
        </w:rPr>
        <w:t>元。</w:t>
      </w:r>
      <w:r w:rsidRPr="00094226">
        <w:rPr>
          <w:bCs/>
        </w:rPr>
        <w:t>近年来，江苏省经济运行总体平稳，主要经济指标增幅保持在合理区间，经济结构进一步优化，消费对经济</w:t>
      </w:r>
      <w:r>
        <w:rPr>
          <w:rFonts w:hint="eastAsia"/>
          <w:bCs/>
        </w:rPr>
        <w:t>增长的</w:t>
      </w:r>
      <w:r w:rsidRPr="00094226">
        <w:rPr>
          <w:bCs/>
        </w:rPr>
        <w:t>拉动作用逐步增强。</w:t>
      </w:r>
      <w:r w:rsidRPr="00094226">
        <w:rPr>
          <w:bCs/>
        </w:rPr>
        <w:t>201</w:t>
      </w:r>
      <w:r>
        <w:rPr>
          <w:rFonts w:hint="eastAsia"/>
          <w:bCs/>
        </w:rPr>
        <w:t>1</w:t>
      </w:r>
      <w:r w:rsidRPr="00094226">
        <w:rPr>
          <w:bCs/>
        </w:rPr>
        <w:t>~201</w:t>
      </w:r>
      <w:r>
        <w:rPr>
          <w:rFonts w:hint="eastAsia"/>
          <w:bCs/>
        </w:rPr>
        <w:t>5</w:t>
      </w:r>
      <w:r w:rsidRPr="00094226">
        <w:rPr>
          <w:bCs/>
        </w:rPr>
        <w:t>年江苏省地区生产总值年均增</w:t>
      </w:r>
      <w:r w:rsidRPr="00865958">
        <w:rPr>
          <w:bCs/>
        </w:rPr>
        <w:t>速为</w:t>
      </w:r>
      <w:r>
        <w:rPr>
          <w:rFonts w:hint="eastAsia"/>
          <w:bCs/>
        </w:rPr>
        <w:t>9.58</w:t>
      </w:r>
      <w:r w:rsidRPr="00865958">
        <w:rPr>
          <w:bCs/>
        </w:rPr>
        <w:t>%</w:t>
      </w:r>
      <w:r w:rsidRPr="00865958">
        <w:rPr>
          <w:bCs/>
        </w:rPr>
        <w:t>，高于全国</w:t>
      </w:r>
      <w:r w:rsidRPr="00865958">
        <w:rPr>
          <w:bCs/>
        </w:rPr>
        <w:t>GDP</w:t>
      </w:r>
      <w:r w:rsidRPr="00865958">
        <w:rPr>
          <w:bCs/>
        </w:rPr>
        <w:t>平均增速</w:t>
      </w:r>
      <w:r>
        <w:rPr>
          <w:rFonts w:hint="eastAsia"/>
          <w:bCs/>
        </w:rPr>
        <w:t>1.76</w:t>
      </w:r>
      <w:r w:rsidRPr="009A53A8">
        <w:rPr>
          <w:bCs/>
        </w:rPr>
        <w:t>个百分点。在经</w:t>
      </w:r>
      <w:r w:rsidRPr="00094226">
        <w:rPr>
          <w:bCs/>
        </w:rPr>
        <w:t>济新常态背景下，尽管江苏省经济增速呈小幅下行走势，</w:t>
      </w:r>
      <w:r w:rsidRPr="00094226">
        <w:rPr>
          <w:bCs/>
        </w:rPr>
        <w:t>201</w:t>
      </w:r>
      <w:r>
        <w:rPr>
          <w:rFonts w:hint="eastAsia"/>
          <w:bCs/>
        </w:rPr>
        <w:t>5</w:t>
      </w:r>
      <w:r w:rsidRPr="00094226">
        <w:rPr>
          <w:bCs/>
        </w:rPr>
        <w:t>年为</w:t>
      </w:r>
      <w:r w:rsidRPr="00094226">
        <w:rPr>
          <w:bCs/>
        </w:rPr>
        <w:t>8.</w:t>
      </w:r>
      <w:r>
        <w:rPr>
          <w:rFonts w:hint="eastAsia"/>
          <w:bCs/>
        </w:rPr>
        <w:t>50</w:t>
      </w:r>
      <w:r w:rsidRPr="00094226">
        <w:rPr>
          <w:bCs/>
        </w:rPr>
        <w:t>%</w:t>
      </w:r>
      <w:r w:rsidRPr="00094226">
        <w:rPr>
          <w:bCs/>
        </w:rPr>
        <w:t>，但仍处于合理区间，且比全国高</w:t>
      </w:r>
      <w:r w:rsidRPr="00094226">
        <w:rPr>
          <w:bCs/>
        </w:rPr>
        <w:t>1.</w:t>
      </w:r>
      <w:r>
        <w:rPr>
          <w:rFonts w:hint="eastAsia"/>
          <w:bCs/>
        </w:rPr>
        <w:t>60</w:t>
      </w:r>
      <w:r w:rsidRPr="00094226">
        <w:rPr>
          <w:bCs/>
        </w:rPr>
        <w:t>个百分点。</w:t>
      </w:r>
      <w:r w:rsidRPr="00094226">
        <w:t>江苏省经济结构不断优化</w:t>
      </w:r>
      <w:r>
        <w:rPr>
          <w:rFonts w:hint="eastAsia"/>
        </w:rPr>
        <w:t>，</w:t>
      </w:r>
      <w:r w:rsidRPr="00094226">
        <w:t>三次产业结构比例由</w:t>
      </w:r>
      <w:r w:rsidRPr="00094226">
        <w:t>201</w:t>
      </w:r>
      <w:r>
        <w:rPr>
          <w:rFonts w:hint="eastAsia"/>
        </w:rPr>
        <w:t>1</w:t>
      </w:r>
      <w:r w:rsidRPr="00094226">
        <w:t>年的</w:t>
      </w:r>
      <w:r w:rsidRPr="00D34536">
        <w:t>6.3:51.5:42.2</w:t>
      </w:r>
      <w:r w:rsidRPr="00094226">
        <w:t>调整至</w:t>
      </w:r>
      <w:r w:rsidRPr="00094226">
        <w:t>201</w:t>
      </w:r>
      <w:r>
        <w:rPr>
          <w:rFonts w:hint="eastAsia"/>
        </w:rPr>
        <w:t>5</w:t>
      </w:r>
      <w:r w:rsidRPr="00094226">
        <w:t>年</w:t>
      </w:r>
      <w:r>
        <w:rPr>
          <w:rFonts w:hint="eastAsia"/>
        </w:rPr>
        <w:t>的</w:t>
      </w:r>
      <w:r w:rsidRPr="00D34536">
        <w:t>5.</w:t>
      </w:r>
      <w:r w:rsidRPr="00D34536">
        <w:rPr>
          <w:rFonts w:hint="eastAsia"/>
        </w:rPr>
        <w:t>7</w:t>
      </w:r>
      <w:r w:rsidRPr="00D34536">
        <w:t>:4</w:t>
      </w:r>
      <w:r w:rsidRPr="00D34536">
        <w:rPr>
          <w:rFonts w:hint="eastAsia"/>
        </w:rPr>
        <w:t>5</w:t>
      </w:r>
      <w:r w:rsidRPr="00D34536">
        <w:t>.</w:t>
      </w:r>
      <w:r w:rsidRPr="00D34536">
        <w:rPr>
          <w:rFonts w:hint="eastAsia"/>
        </w:rPr>
        <w:t>7</w:t>
      </w:r>
      <w:r w:rsidRPr="00D34536">
        <w:t>:4</w:t>
      </w:r>
      <w:r w:rsidRPr="00D34536">
        <w:rPr>
          <w:rFonts w:hint="eastAsia"/>
        </w:rPr>
        <w:t>8.6</w:t>
      </w:r>
      <w:r w:rsidRPr="00094226">
        <w:t>，第三产业占比不断提升</w:t>
      </w:r>
      <w:r>
        <w:rPr>
          <w:rFonts w:hint="eastAsia"/>
        </w:rPr>
        <w:t>，</w:t>
      </w:r>
      <w:r>
        <w:rPr>
          <w:rFonts w:hint="eastAsia"/>
        </w:rPr>
        <w:t>2015</w:t>
      </w:r>
      <w:r>
        <w:rPr>
          <w:rFonts w:hint="eastAsia"/>
        </w:rPr>
        <w:t>年</w:t>
      </w:r>
      <w:r w:rsidRPr="0056562C">
        <w:rPr>
          <w:rFonts w:hint="eastAsia"/>
        </w:rPr>
        <w:t>服务业增加值占</w:t>
      </w:r>
      <w:r w:rsidRPr="0056562C">
        <w:rPr>
          <w:rFonts w:hint="eastAsia"/>
        </w:rPr>
        <w:t>GDP</w:t>
      </w:r>
      <w:r w:rsidRPr="0056562C">
        <w:rPr>
          <w:rFonts w:hint="eastAsia"/>
        </w:rPr>
        <w:t>比重提高</w:t>
      </w:r>
      <w:r w:rsidRPr="0056562C">
        <w:rPr>
          <w:rFonts w:hint="eastAsia"/>
        </w:rPr>
        <w:t>1.6</w:t>
      </w:r>
      <w:r>
        <w:rPr>
          <w:rFonts w:hint="eastAsia"/>
        </w:rPr>
        <w:t>0</w:t>
      </w:r>
      <w:r w:rsidRPr="0056562C">
        <w:rPr>
          <w:rFonts w:hint="eastAsia"/>
        </w:rPr>
        <w:t>个百分点</w:t>
      </w:r>
      <w:r>
        <w:rPr>
          <w:rFonts w:hint="eastAsia"/>
        </w:rPr>
        <w:t>；实现</w:t>
      </w:r>
      <w:r w:rsidRPr="0056562C">
        <w:rPr>
          <w:rFonts w:hint="eastAsia"/>
        </w:rPr>
        <w:t>高新技术产业产值</w:t>
      </w:r>
      <w:r w:rsidRPr="0056562C">
        <w:rPr>
          <w:rFonts w:hint="eastAsia"/>
        </w:rPr>
        <w:t>6.1</w:t>
      </w:r>
      <w:r>
        <w:rPr>
          <w:rFonts w:hint="eastAsia"/>
        </w:rPr>
        <w:t>0</w:t>
      </w:r>
      <w:proofErr w:type="gramStart"/>
      <w:r w:rsidRPr="0056562C">
        <w:rPr>
          <w:rFonts w:hint="eastAsia"/>
        </w:rPr>
        <w:t>万亿</w:t>
      </w:r>
      <w:proofErr w:type="gramEnd"/>
      <w:r w:rsidRPr="0056562C">
        <w:rPr>
          <w:rFonts w:hint="eastAsia"/>
        </w:rPr>
        <w:t>元，比上年增长</w:t>
      </w:r>
      <w:r w:rsidRPr="0056562C">
        <w:rPr>
          <w:rFonts w:hint="eastAsia"/>
        </w:rPr>
        <w:t>7.6</w:t>
      </w:r>
      <w:r>
        <w:rPr>
          <w:rFonts w:hint="eastAsia"/>
        </w:rPr>
        <w:t>0</w:t>
      </w:r>
      <w:r w:rsidRPr="0056562C">
        <w:rPr>
          <w:rFonts w:hint="eastAsia"/>
        </w:rPr>
        <w:t>%</w:t>
      </w:r>
      <w:r w:rsidR="00E61A92">
        <w:rPr>
          <w:rFonts w:hint="eastAsia"/>
        </w:rPr>
        <w:t>，</w:t>
      </w:r>
      <w:proofErr w:type="gramStart"/>
      <w:r w:rsidRPr="0056562C">
        <w:rPr>
          <w:rFonts w:hint="eastAsia"/>
        </w:rPr>
        <w:t>占</w:t>
      </w:r>
      <w:r>
        <w:rPr>
          <w:rFonts w:hint="eastAsia"/>
        </w:rPr>
        <w:t>规模</w:t>
      </w:r>
      <w:proofErr w:type="gramEnd"/>
      <w:r>
        <w:rPr>
          <w:rFonts w:hint="eastAsia"/>
        </w:rPr>
        <w:t>以上</w:t>
      </w:r>
      <w:r w:rsidRPr="0056562C">
        <w:rPr>
          <w:rFonts w:hint="eastAsia"/>
        </w:rPr>
        <w:t>工业总产值比重达</w:t>
      </w:r>
      <w:r w:rsidRPr="0056562C">
        <w:rPr>
          <w:rFonts w:hint="eastAsia"/>
        </w:rPr>
        <w:t>40.1</w:t>
      </w:r>
      <w:r>
        <w:rPr>
          <w:rFonts w:hint="eastAsia"/>
        </w:rPr>
        <w:t>0</w:t>
      </w:r>
      <w:r w:rsidRPr="0056562C">
        <w:rPr>
          <w:rFonts w:hint="eastAsia"/>
        </w:rPr>
        <w:t>%</w:t>
      </w:r>
      <w:r w:rsidRPr="00094226">
        <w:t>。</w:t>
      </w:r>
      <w:r w:rsidRPr="00094226">
        <w:rPr>
          <w:bCs/>
        </w:rPr>
        <w:t>江苏省</w:t>
      </w:r>
      <w:r w:rsidRPr="00094226">
        <w:t>资本形成总额、最终消费和净出口对经济</w:t>
      </w:r>
      <w:r>
        <w:rPr>
          <w:rFonts w:hint="eastAsia"/>
        </w:rPr>
        <w:t>增长</w:t>
      </w:r>
      <w:r w:rsidRPr="00094226">
        <w:t>的</w:t>
      </w:r>
      <w:r>
        <w:rPr>
          <w:rFonts w:hint="eastAsia"/>
        </w:rPr>
        <w:t>贡献率</w:t>
      </w:r>
      <w:r w:rsidRPr="00094226">
        <w:t>由</w:t>
      </w:r>
      <w:r w:rsidRPr="00094226">
        <w:t>201</w:t>
      </w:r>
      <w:r>
        <w:rPr>
          <w:rFonts w:hint="eastAsia"/>
        </w:rPr>
        <w:t>1</w:t>
      </w:r>
      <w:r w:rsidRPr="00094226">
        <w:t>年的</w:t>
      </w:r>
      <w:r w:rsidRPr="00094226">
        <w:t>51.</w:t>
      </w:r>
      <w:r>
        <w:rPr>
          <w:rFonts w:hint="eastAsia"/>
        </w:rPr>
        <w:t>00</w:t>
      </w:r>
      <w:r w:rsidRPr="00094226">
        <w:t>%</w:t>
      </w:r>
      <w:r w:rsidRPr="00094226">
        <w:t>、</w:t>
      </w:r>
      <w:r w:rsidRPr="00094226">
        <w:t>4</w:t>
      </w:r>
      <w:r>
        <w:rPr>
          <w:rFonts w:hint="eastAsia"/>
        </w:rPr>
        <w:t>2.00</w:t>
      </w:r>
      <w:r w:rsidRPr="00094226">
        <w:t>%</w:t>
      </w:r>
      <w:r w:rsidRPr="00094226">
        <w:t>和</w:t>
      </w:r>
      <w:r w:rsidRPr="00094226">
        <w:t>7.</w:t>
      </w:r>
      <w:r>
        <w:rPr>
          <w:rFonts w:hint="eastAsia"/>
        </w:rPr>
        <w:t>00</w:t>
      </w:r>
      <w:r w:rsidRPr="00094226">
        <w:t>%</w:t>
      </w:r>
      <w:r w:rsidRPr="00094226">
        <w:t>调整至</w:t>
      </w:r>
      <w:r w:rsidRPr="00094226">
        <w:t>201</w:t>
      </w:r>
      <w:r>
        <w:rPr>
          <w:rFonts w:hint="eastAsia"/>
        </w:rPr>
        <w:t>4</w:t>
      </w:r>
      <w:r w:rsidRPr="00094226">
        <w:t>年的</w:t>
      </w:r>
      <w:r w:rsidRPr="0056562C">
        <w:t>45.80%</w:t>
      </w:r>
      <w:r w:rsidRPr="0056562C">
        <w:rPr>
          <w:rFonts w:hint="eastAsia"/>
        </w:rPr>
        <w:t>、</w:t>
      </w:r>
      <w:r w:rsidRPr="0056562C">
        <w:t>47.70%</w:t>
      </w:r>
      <w:r w:rsidRPr="0056562C">
        <w:rPr>
          <w:rFonts w:hint="eastAsia"/>
        </w:rPr>
        <w:t>和</w:t>
      </w:r>
      <w:r w:rsidRPr="0056562C">
        <w:t>6.50%</w:t>
      </w:r>
      <w:r w:rsidRPr="00094226">
        <w:t>，消费对经济</w:t>
      </w:r>
      <w:r>
        <w:rPr>
          <w:rFonts w:hint="eastAsia"/>
        </w:rPr>
        <w:t>增长</w:t>
      </w:r>
      <w:r w:rsidRPr="00094226">
        <w:t>的</w:t>
      </w:r>
      <w:r>
        <w:rPr>
          <w:rFonts w:hint="eastAsia"/>
        </w:rPr>
        <w:t>贡献度</w:t>
      </w:r>
      <w:r w:rsidRPr="00094226">
        <w:t>不断提升。</w:t>
      </w:r>
    </w:p>
    <w:p w:rsidR="00486F91" w:rsidRPr="00094226" w:rsidRDefault="00486F91" w:rsidP="00486F91">
      <w:pPr>
        <w:spacing w:beforeLines="50" w:before="156" w:line="300" w:lineRule="auto"/>
        <w:jc w:val="center"/>
        <w:rPr>
          <w:rFonts w:eastAsia="黑体"/>
          <w:b/>
          <w:sz w:val="20"/>
          <w:szCs w:val="20"/>
        </w:rPr>
      </w:pPr>
      <w:r w:rsidRPr="00094226">
        <w:rPr>
          <w:rFonts w:eastAsia="黑体"/>
          <w:b/>
          <w:sz w:val="20"/>
          <w:szCs w:val="20"/>
        </w:rPr>
        <w:lastRenderedPageBreak/>
        <w:t>表</w:t>
      </w:r>
      <w:r w:rsidRPr="00094226">
        <w:rPr>
          <w:rFonts w:eastAsia="黑体"/>
          <w:b/>
          <w:sz w:val="20"/>
          <w:szCs w:val="20"/>
        </w:rPr>
        <w:t>2</w:t>
      </w:r>
      <w:r w:rsidRPr="00094226">
        <w:rPr>
          <w:rFonts w:eastAsia="黑体"/>
          <w:b/>
          <w:sz w:val="20"/>
          <w:szCs w:val="20"/>
        </w:rPr>
        <w:t>：</w:t>
      </w:r>
      <w:r w:rsidRPr="00094226">
        <w:rPr>
          <w:rFonts w:eastAsia="黑体"/>
          <w:b/>
          <w:sz w:val="20"/>
          <w:szCs w:val="20"/>
        </w:rPr>
        <w:t>201</w:t>
      </w:r>
      <w:r>
        <w:rPr>
          <w:rFonts w:eastAsia="黑体" w:hint="eastAsia"/>
          <w:b/>
          <w:sz w:val="20"/>
          <w:szCs w:val="20"/>
        </w:rPr>
        <w:t>3</w:t>
      </w:r>
      <w:r w:rsidRPr="00094226">
        <w:rPr>
          <w:rFonts w:eastAsia="黑体"/>
          <w:b/>
          <w:sz w:val="20"/>
          <w:szCs w:val="20"/>
        </w:rPr>
        <w:t>～</w:t>
      </w:r>
      <w:r w:rsidRPr="00094226">
        <w:rPr>
          <w:rFonts w:eastAsia="黑体"/>
          <w:b/>
          <w:sz w:val="20"/>
          <w:szCs w:val="20"/>
        </w:rPr>
        <w:t>201</w:t>
      </w:r>
      <w:r>
        <w:rPr>
          <w:rFonts w:eastAsia="黑体" w:hint="eastAsia"/>
          <w:b/>
          <w:sz w:val="20"/>
          <w:szCs w:val="20"/>
        </w:rPr>
        <w:t>5</w:t>
      </w:r>
      <w:r w:rsidRPr="00094226">
        <w:rPr>
          <w:rFonts w:eastAsia="黑体"/>
          <w:b/>
          <w:sz w:val="20"/>
          <w:szCs w:val="20"/>
        </w:rPr>
        <w:t>年江苏省主要经济指标</w:t>
      </w:r>
    </w:p>
    <w:tbl>
      <w:tblPr>
        <w:tblW w:w="4900" w:type="pct"/>
        <w:jc w:val="center"/>
        <w:tblBorders>
          <w:top w:val="single" w:sz="2" w:space="0" w:color="auto"/>
          <w:bottom w:val="single" w:sz="2" w:space="0" w:color="auto"/>
          <w:insideH w:val="single" w:sz="2" w:space="0" w:color="999999"/>
          <w:insideV w:val="single" w:sz="2" w:space="0" w:color="999999"/>
        </w:tblBorders>
        <w:tblLook w:val="04A0" w:firstRow="1" w:lastRow="0" w:firstColumn="1" w:lastColumn="0" w:noHBand="0" w:noVBand="1"/>
      </w:tblPr>
      <w:tblGrid>
        <w:gridCol w:w="2974"/>
        <w:gridCol w:w="1173"/>
        <w:gridCol w:w="979"/>
        <w:gridCol w:w="1158"/>
        <w:gridCol w:w="994"/>
        <w:gridCol w:w="1159"/>
        <w:gridCol w:w="944"/>
      </w:tblGrid>
      <w:tr w:rsidR="00486F91" w:rsidRPr="00094226" w:rsidTr="00A56527">
        <w:trPr>
          <w:trHeight w:val="340"/>
          <w:jc w:val="center"/>
        </w:trPr>
        <w:tc>
          <w:tcPr>
            <w:tcW w:w="1585" w:type="pct"/>
            <w:vMerge w:val="restart"/>
            <w:shd w:val="clear" w:color="000000" w:fill="0070C0"/>
            <w:noWrap/>
            <w:vAlign w:val="center"/>
          </w:tcPr>
          <w:p w:rsidR="00486F91" w:rsidRPr="00094226" w:rsidRDefault="00486F91" w:rsidP="00A56527">
            <w:pPr>
              <w:widowControl/>
              <w:jc w:val="center"/>
              <w:rPr>
                <w:b/>
                <w:bCs/>
                <w:color w:val="FFFFFF"/>
                <w:kern w:val="0"/>
                <w:sz w:val="18"/>
                <w:szCs w:val="18"/>
              </w:rPr>
            </w:pPr>
            <w:r w:rsidRPr="00094226">
              <w:rPr>
                <w:b/>
                <w:bCs/>
                <w:color w:val="FFFFFF"/>
                <w:kern w:val="0"/>
                <w:sz w:val="18"/>
                <w:szCs w:val="18"/>
              </w:rPr>
              <w:t>项目</w:t>
            </w:r>
          </w:p>
        </w:tc>
        <w:tc>
          <w:tcPr>
            <w:tcW w:w="1147" w:type="pct"/>
            <w:gridSpan w:val="2"/>
            <w:shd w:val="clear" w:color="000000" w:fill="0070C0"/>
            <w:vAlign w:val="center"/>
          </w:tcPr>
          <w:p w:rsidR="00486F91" w:rsidRPr="00094226" w:rsidRDefault="00486F91" w:rsidP="00A56527">
            <w:pPr>
              <w:widowControl/>
              <w:jc w:val="center"/>
              <w:rPr>
                <w:b/>
                <w:bCs/>
                <w:color w:val="FFFFFF"/>
                <w:kern w:val="0"/>
                <w:sz w:val="18"/>
                <w:szCs w:val="18"/>
              </w:rPr>
            </w:pPr>
            <w:r w:rsidRPr="00094226">
              <w:rPr>
                <w:b/>
                <w:bCs/>
                <w:color w:val="FFFFFF"/>
                <w:kern w:val="0"/>
                <w:sz w:val="18"/>
                <w:szCs w:val="18"/>
              </w:rPr>
              <w:t>201</w:t>
            </w:r>
            <w:r>
              <w:rPr>
                <w:rFonts w:hint="eastAsia"/>
                <w:b/>
                <w:bCs/>
                <w:color w:val="FFFFFF"/>
                <w:kern w:val="0"/>
                <w:sz w:val="18"/>
                <w:szCs w:val="18"/>
              </w:rPr>
              <w:t>3</w:t>
            </w:r>
            <w:r w:rsidRPr="00094226">
              <w:rPr>
                <w:b/>
                <w:bCs/>
                <w:color w:val="FFFFFF"/>
                <w:kern w:val="0"/>
                <w:sz w:val="18"/>
                <w:szCs w:val="18"/>
              </w:rPr>
              <w:t>年</w:t>
            </w:r>
          </w:p>
        </w:tc>
        <w:tc>
          <w:tcPr>
            <w:tcW w:w="1147" w:type="pct"/>
            <w:gridSpan w:val="2"/>
            <w:shd w:val="clear" w:color="000000" w:fill="0070C0"/>
            <w:vAlign w:val="center"/>
          </w:tcPr>
          <w:p w:rsidR="00486F91" w:rsidRPr="00094226" w:rsidRDefault="00486F91" w:rsidP="00A56527">
            <w:pPr>
              <w:widowControl/>
              <w:jc w:val="center"/>
              <w:rPr>
                <w:b/>
                <w:bCs/>
                <w:color w:val="FFFFFF"/>
                <w:kern w:val="0"/>
                <w:sz w:val="18"/>
                <w:szCs w:val="18"/>
              </w:rPr>
            </w:pPr>
            <w:r w:rsidRPr="00094226">
              <w:rPr>
                <w:b/>
                <w:bCs/>
                <w:color w:val="FFFFFF"/>
                <w:kern w:val="0"/>
                <w:sz w:val="18"/>
                <w:szCs w:val="18"/>
              </w:rPr>
              <w:t>201</w:t>
            </w:r>
            <w:r>
              <w:rPr>
                <w:rFonts w:hint="eastAsia"/>
                <w:b/>
                <w:bCs/>
                <w:color w:val="FFFFFF"/>
                <w:kern w:val="0"/>
                <w:sz w:val="18"/>
                <w:szCs w:val="18"/>
              </w:rPr>
              <w:t>4</w:t>
            </w:r>
            <w:r w:rsidRPr="00094226">
              <w:rPr>
                <w:b/>
                <w:bCs/>
                <w:color w:val="FFFFFF"/>
                <w:kern w:val="0"/>
                <w:sz w:val="18"/>
                <w:szCs w:val="18"/>
              </w:rPr>
              <w:t>年</w:t>
            </w:r>
          </w:p>
        </w:tc>
        <w:tc>
          <w:tcPr>
            <w:tcW w:w="1121" w:type="pct"/>
            <w:gridSpan w:val="2"/>
            <w:shd w:val="clear" w:color="000000" w:fill="0070C0"/>
            <w:vAlign w:val="center"/>
          </w:tcPr>
          <w:p w:rsidR="00486F91" w:rsidRPr="00094226" w:rsidRDefault="00486F91" w:rsidP="00A56527">
            <w:pPr>
              <w:widowControl/>
              <w:jc w:val="center"/>
              <w:rPr>
                <w:b/>
                <w:bCs/>
                <w:color w:val="FFFFFF"/>
                <w:kern w:val="0"/>
                <w:sz w:val="18"/>
                <w:szCs w:val="18"/>
              </w:rPr>
            </w:pPr>
            <w:r w:rsidRPr="00094226">
              <w:rPr>
                <w:b/>
                <w:bCs/>
                <w:color w:val="FFFFFF"/>
                <w:kern w:val="0"/>
                <w:sz w:val="18"/>
                <w:szCs w:val="18"/>
              </w:rPr>
              <w:t>201</w:t>
            </w:r>
            <w:r>
              <w:rPr>
                <w:rFonts w:hint="eastAsia"/>
                <w:b/>
                <w:bCs/>
                <w:color w:val="FFFFFF"/>
                <w:kern w:val="0"/>
                <w:sz w:val="18"/>
                <w:szCs w:val="18"/>
              </w:rPr>
              <w:t>5</w:t>
            </w:r>
            <w:r w:rsidRPr="00094226">
              <w:rPr>
                <w:b/>
                <w:bCs/>
                <w:color w:val="FFFFFF"/>
                <w:kern w:val="0"/>
                <w:sz w:val="18"/>
                <w:szCs w:val="18"/>
              </w:rPr>
              <w:t>年</w:t>
            </w:r>
          </w:p>
        </w:tc>
      </w:tr>
      <w:tr w:rsidR="00486F91" w:rsidRPr="00094226" w:rsidTr="00A56527">
        <w:trPr>
          <w:trHeight w:val="340"/>
          <w:jc w:val="center"/>
        </w:trPr>
        <w:tc>
          <w:tcPr>
            <w:tcW w:w="1585" w:type="pct"/>
            <w:vMerge/>
            <w:vAlign w:val="center"/>
          </w:tcPr>
          <w:p w:rsidR="00486F91" w:rsidRPr="00094226" w:rsidRDefault="00486F91" w:rsidP="00A56527">
            <w:pPr>
              <w:widowControl/>
              <w:jc w:val="left"/>
              <w:rPr>
                <w:b/>
                <w:bCs/>
                <w:color w:val="FFFFFF"/>
                <w:kern w:val="0"/>
                <w:sz w:val="18"/>
                <w:szCs w:val="18"/>
              </w:rPr>
            </w:pPr>
          </w:p>
        </w:tc>
        <w:tc>
          <w:tcPr>
            <w:tcW w:w="625" w:type="pct"/>
            <w:shd w:val="clear" w:color="000000" w:fill="0070C0"/>
            <w:vAlign w:val="center"/>
          </w:tcPr>
          <w:p w:rsidR="00486F91" w:rsidRPr="00094226" w:rsidRDefault="00486F91" w:rsidP="00A56527">
            <w:pPr>
              <w:widowControl/>
              <w:jc w:val="center"/>
              <w:rPr>
                <w:b/>
                <w:bCs/>
                <w:color w:val="FFFFFF"/>
                <w:kern w:val="0"/>
                <w:sz w:val="18"/>
                <w:szCs w:val="18"/>
              </w:rPr>
            </w:pPr>
            <w:r w:rsidRPr="00094226">
              <w:rPr>
                <w:b/>
                <w:bCs/>
                <w:color w:val="FFFFFF"/>
                <w:kern w:val="0"/>
                <w:sz w:val="18"/>
                <w:szCs w:val="18"/>
              </w:rPr>
              <w:t>总额</w:t>
            </w:r>
          </w:p>
        </w:tc>
        <w:tc>
          <w:tcPr>
            <w:tcW w:w="522" w:type="pct"/>
            <w:shd w:val="clear" w:color="000000" w:fill="0070C0"/>
            <w:vAlign w:val="center"/>
          </w:tcPr>
          <w:p w:rsidR="00486F91" w:rsidRPr="00094226" w:rsidRDefault="00486F91" w:rsidP="00A56527">
            <w:pPr>
              <w:widowControl/>
              <w:jc w:val="center"/>
              <w:rPr>
                <w:b/>
                <w:bCs/>
                <w:color w:val="FFFFFF"/>
                <w:kern w:val="0"/>
                <w:sz w:val="18"/>
                <w:szCs w:val="18"/>
              </w:rPr>
            </w:pPr>
            <w:r w:rsidRPr="00094226">
              <w:rPr>
                <w:b/>
                <w:bCs/>
                <w:color w:val="FFFFFF"/>
                <w:kern w:val="0"/>
                <w:sz w:val="18"/>
                <w:szCs w:val="18"/>
              </w:rPr>
              <w:t>增长率</w:t>
            </w:r>
          </w:p>
        </w:tc>
        <w:tc>
          <w:tcPr>
            <w:tcW w:w="617" w:type="pct"/>
            <w:shd w:val="clear" w:color="000000" w:fill="0070C0"/>
            <w:vAlign w:val="center"/>
          </w:tcPr>
          <w:p w:rsidR="00486F91" w:rsidRPr="00094226" w:rsidRDefault="00486F91" w:rsidP="00A56527">
            <w:pPr>
              <w:widowControl/>
              <w:jc w:val="center"/>
              <w:rPr>
                <w:b/>
                <w:bCs/>
                <w:color w:val="FFFFFF"/>
                <w:kern w:val="0"/>
                <w:sz w:val="18"/>
                <w:szCs w:val="18"/>
              </w:rPr>
            </w:pPr>
            <w:r w:rsidRPr="00094226">
              <w:rPr>
                <w:b/>
                <w:bCs/>
                <w:color w:val="FFFFFF"/>
                <w:kern w:val="0"/>
                <w:sz w:val="18"/>
                <w:szCs w:val="18"/>
              </w:rPr>
              <w:t>总额</w:t>
            </w:r>
          </w:p>
        </w:tc>
        <w:tc>
          <w:tcPr>
            <w:tcW w:w="530" w:type="pct"/>
            <w:shd w:val="clear" w:color="000000" w:fill="0070C0"/>
            <w:vAlign w:val="center"/>
          </w:tcPr>
          <w:p w:rsidR="00486F91" w:rsidRPr="00094226" w:rsidRDefault="00486F91" w:rsidP="00A56527">
            <w:pPr>
              <w:widowControl/>
              <w:jc w:val="center"/>
              <w:rPr>
                <w:b/>
                <w:bCs/>
                <w:color w:val="FFFFFF"/>
                <w:kern w:val="0"/>
                <w:sz w:val="18"/>
                <w:szCs w:val="18"/>
              </w:rPr>
            </w:pPr>
            <w:r w:rsidRPr="00094226">
              <w:rPr>
                <w:b/>
                <w:bCs/>
                <w:color w:val="FFFFFF"/>
                <w:kern w:val="0"/>
                <w:sz w:val="18"/>
                <w:szCs w:val="18"/>
              </w:rPr>
              <w:t>增长率</w:t>
            </w:r>
          </w:p>
        </w:tc>
        <w:tc>
          <w:tcPr>
            <w:tcW w:w="618" w:type="pct"/>
            <w:shd w:val="clear" w:color="000000" w:fill="0070C0"/>
            <w:noWrap/>
            <w:vAlign w:val="center"/>
          </w:tcPr>
          <w:p w:rsidR="00486F91" w:rsidRPr="00094226" w:rsidRDefault="00486F91" w:rsidP="00A56527">
            <w:pPr>
              <w:widowControl/>
              <w:jc w:val="center"/>
              <w:rPr>
                <w:b/>
                <w:bCs/>
                <w:color w:val="FFFFFF"/>
                <w:kern w:val="0"/>
                <w:sz w:val="18"/>
                <w:szCs w:val="18"/>
              </w:rPr>
            </w:pPr>
            <w:r w:rsidRPr="00094226">
              <w:rPr>
                <w:b/>
                <w:bCs/>
                <w:color w:val="FFFFFF"/>
                <w:kern w:val="0"/>
                <w:sz w:val="18"/>
                <w:szCs w:val="18"/>
              </w:rPr>
              <w:t>总额</w:t>
            </w:r>
          </w:p>
        </w:tc>
        <w:tc>
          <w:tcPr>
            <w:tcW w:w="503" w:type="pct"/>
            <w:shd w:val="clear" w:color="000000" w:fill="0070C0"/>
            <w:noWrap/>
            <w:vAlign w:val="center"/>
          </w:tcPr>
          <w:p w:rsidR="00486F91" w:rsidRPr="00094226" w:rsidRDefault="00486F91" w:rsidP="00A56527">
            <w:pPr>
              <w:widowControl/>
              <w:jc w:val="center"/>
              <w:rPr>
                <w:b/>
                <w:bCs/>
                <w:color w:val="FFFFFF"/>
                <w:kern w:val="0"/>
                <w:sz w:val="18"/>
                <w:szCs w:val="18"/>
              </w:rPr>
            </w:pPr>
            <w:r w:rsidRPr="00094226">
              <w:rPr>
                <w:b/>
                <w:bCs/>
                <w:color w:val="FFFFFF"/>
                <w:kern w:val="0"/>
                <w:sz w:val="18"/>
                <w:szCs w:val="18"/>
              </w:rPr>
              <w:t>增长率</w:t>
            </w:r>
          </w:p>
        </w:tc>
      </w:tr>
      <w:tr w:rsidR="00486F91" w:rsidRPr="00094226" w:rsidTr="00A56527">
        <w:trPr>
          <w:trHeight w:val="340"/>
          <w:jc w:val="center"/>
        </w:trPr>
        <w:tc>
          <w:tcPr>
            <w:tcW w:w="1585" w:type="pct"/>
            <w:shd w:val="clear" w:color="auto" w:fill="auto"/>
            <w:noWrap/>
            <w:vAlign w:val="center"/>
          </w:tcPr>
          <w:p w:rsidR="00486F91" w:rsidRPr="00094226" w:rsidRDefault="00486F91" w:rsidP="00A56527">
            <w:pPr>
              <w:widowControl/>
              <w:rPr>
                <w:kern w:val="0"/>
                <w:sz w:val="18"/>
                <w:szCs w:val="18"/>
              </w:rPr>
            </w:pPr>
            <w:r w:rsidRPr="00094226">
              <w:rPr>
                <w:kern w:val="0"/>
                <w:sz w:val="18"/>
                <w:szCs w:val="18"/>
              </w:rPr>
              <w:t>地区生产总值</w:t>
            </w:r>
            <w:r>
              <w:rPr>
                <w:rFonts w:hint="eastAsia"/>
                <w:kern w:val="0"/>
                <w:sz w:val="18"/>
                <w:szCs w:val="18"/>
              </w:rPr>
              <w:t>（</w:t>
            </w:r>
            <w:r w:rsidRPr="00094226">
              <w:rPr>
                <w:kern w:val="0"/>
                <w:sz w:val="18"/>
                <w:szCs w:val="18"/>
              </w:rPr>
              <w:t>亿元、</w:t>
            </w:r>
            <w:r w:rsidRPr="00094226">
              <w:rPr>
                <w:kern w:val="0"/>
                <w:sz w:val="18"/>
                <w:szCs w:val="18"/>
              </w:rPr>
              <w:t>%</w:t>
            </w:r>
            <w:r w:rsidRPr="00094226">
              <w:rPr>
                <w:kern w:val="0"/>
                <w:sz w:val="18"/>
                <w:szCs w:val="18"/>
              </w:rPr>
              <w:t>）</w:t>
            </w:r>
          </w:p>
        </w:tc>
        <w:tc>
          <w:tcPr>
            <w:tcW w:w="625" w:type="pct"/>
            <w:vAlign w:val="center"/>
          </w:tcPr>
          <w:p w:rsidR="00486F91" w:rsidRPr="00094226" w:rsidRDefault="00486F91" w:rsidP="00A56527">
            <w:pPr>
              <w:jc w:val="center"/>
              <w:rPr>
                <w:sz w:val="18"/>
                <w:szCs w:val="18"/>
              </w:rPr>
            </w:pPr>
            <w:r w:rsidRPr="00094226">
              <w:rPr>
                <w:sz w:val="18"/>
                <w:szCs w:val="18"/>
              </w:rPr>
              <w:t>59,161.80</w:t>
            </w:r>
          </w:p>
        </w:tc>
        <w:tc>
          <w:tcPr>
            <w:tcW w:w="522" w:type="pct"/>
            <w:vAlign w:val="center"/>
          </w:tcPr>
          <w:p w:rsidR="00486F91" w:rsidRPr="00094226" w:rsidRDefault="00486F91" w:rsidP="00A56527">
            <w:pPr>
              <w:jc w:val="center"/>
              <w:rPr>
                <w:sz w:val="18"/>
                <w:szCs w:val="18"/>
              </w:rPr>
            </w:pPr>
            <w:r w:rsidRPr="00094226">
              <w:rPr>
                <w:sz w:val="18"/>
                <w:szCs w:val="18"/>
              </w:rPr>
              <w:t>9.60</w:t>
            </w:r>
          </w:p>
        </w:tc>
        <w:tc>
          <w:tcPr>
            <w:tcW w:w="617" w:type="pct"/>
            <w:vAlign w:val="center"/>
          </w:tcPr>
          <w:p w:rsidR="00486F91" w:rsidRPr="00094226" w:rsidRDefault="00486F91" w:rsidP="00A56527">
            <w:pPr>
              <w:jc w:val="center"/>
              <w:rPr>
                <w:sz w:val="18"/>
                <w:szCs w:val="18"/>
              </w:rPr>
            </w:pPr>
            <w:r w:rsidRPr="00094226">
              <w:rPr>
                <w:sz w:val="18"/>
                <w:szCs w:val="18"/>
              </w:rPr>
              <w:t>65,088.</w:t>
            </w:r>
            <w:r>
              <w:rPr>
                <w:rFonts w:hint="eastAsia"/>
                <w:sz w:val="18"/>
                <w:szCs w:val="18"/>
              </w:rPr>
              <w:t>32</w:t>
            </w:r>
          </w:p>
        </w:tc>
        <w:tc>
          <w:tcPr>
            <w:tcW w:w="530" w:type="pct"/>
            <w:vAlign w:val="center"/>
          </w:tcPr>
          <w:p w:rsidR="00486F91" w:rsidRPr="00094226" w:rsidRDefault="00486F91" w:rsidP="00A56527">
            <w:pPr>
              <w:jc w:val="center"/>
              <w:rPr>
                <w:sz w:val="18"/>
                <w:szCs w:val="18"/>
              </w:rPr>
            </w:pPr>
            <w:r w:rsidRPr="00094226">
              <w:rPr>
                <w:sz w:val="18"/>
                <w:szCs w:val="18"/>
              </w:rPr>
              <w:t>8.7</w:t>
            </w:r>
            <w:r>
              <w:rPr>
                <w:rFonts w:hint="eastAsia"/>
                <w:sz w:val="18"/>
                <w:szCs w:val="18"/>
              </w:rPr>
              <w:t>0</w:t>
            </w:r>
          </w:p>
        </w:tc>
        <w:tc>
          <w:tcPr>
            <w:tcW w:w="618" w:type="pct"/>
            <w:shd w:val="clear" w:color="auto" w:fill="auto"/>
            <w:noWrap/>
            <w:vAlign w:val="center"/>
          </w:tcPr>
          <w:p w:rsidR="00486F91" w:rsidRPr="00094226" w:rsidRDefault="00486F91" w:rsidP="006B0350">
            <w:pPr>
              <w:jc w:val="center"/>
              <w:rPr>
                <w:sz w:val="18"/>
                <w:szCs w:val="18"/>
              </w:rPr>
            </w:pPr>
            <w:r w:rsidRPr="00BF7761">
              <w:rPr>
                <w:sz w:val="18"/>
                <w:szCs w:val="18"/>
              </w:rPr>
              <w:t>70</w:t>
            </w:r>
            <w:r w:rsidRPr="00BF7761">
              <w:rPr>
                <w:rFonts w:hint="eastAsia"/>
                <w:sz w:val="18"/>
                <w:szCs w:val="18"/>
              </w:rPr>
              <w:t>,</w:t>
            </w:r>
            <w:r w:rsidRPr="00BF7761">
              <w:rPr>
                <w:sz w:val="18"/>
                <w:szCs w:val="18"/>
              </w:rPr>
              <w:t>116.</w:t>
            </w:r>
            <w:r w:rsidR="006B0350">
              <w:rPr>
                <w:rFonts w:hint="eastAsia"/>
                <w:sz w:val="18"/>
                <w:szCs w:val="18"/>
              </w:rPr>
              <w:t>38</w:t>
            </w:r>
          </w:p>
        </w:tc>
        <w:tc>
          <w:tcPr>
            <w:tcW w:w="503" w:type="pct"/>
            <w:shd w:val="clear" w:color="auto" w:fill="auto"/>
            <w:noWrap/>
            <w:vAlign w:val="center"/>
          </w:tcPr>
          <w:p w:rsidR="00486F91" w:rsidRPr="00094226" w:rsidRDefault="00486F91" w:rsidP="00A56527">
            <w:pPr>
              <w:jc w:val="center"/>
              <w:rPr>
                <w:sz w:val="18"/>
                <w:szCs w:val="18"/>
              </w:rPr>
            </w:pPr>
            <w:r w:rsidRPr="00094226">
              <w:rPr>
                <w:sz w:val="18"/>
                <w:szCs w:val="18"/>
              </w:rPr>
              <w:t>8.</w:t>
            </w:r>
            <w:r>
              <w:rPr>
                <w:rFonts w:hint="eastAsia"/>
                <w:sz w:val="18"/>
                <w:szCs w:val="18"/>
              </w:rPr>
              <w:t>50</w:t>
            </w:r>
          </w:p>
        </w:tc>
      </w:tr>
      <w:tr w:rsidR="00486F91" w:rsidRPr="00094226" w:rsidTr="00A56527">
        <w:trPr>
          <w:trHeight w:val="340"/>
          <w:jc w:val="center"/>
        </w:trPr>
        <w:tc>
          <w:tcPr>
            <w:tcW w:w="1585" w:type="pct"/>
            <w:shd w:val="clear" w:color="auto" w:fill="D3EDFB"/>
            <w:noWrap/>
            <w:vAlign w:val="center"/>
          </w:tcPr>
          <w:p w:rsidR="00486F91" w:rsidRPr="00094226" w:rsidRDefault="00486F91" w:rsidP="00A56527">
            <w:pPr>
              <w:widowControl/>
              <w:rPr>
                <w:kern w:val="0"/>
                <w:sz w:val="18"/>
                <w:szCs w:val="18"/>
              </w:rPr>
            </w:pPr>
            <w:r w:rsidRPr="00094226">
              <w:rPr>
                <w:kern w:val="0"/>
                <w:sz w:val="18"/>
                <w:szCs w:val="18"/>
              </w:rPr>
              <w:t>人均地区生产总值（元、</w:t>
            </w:r>
            <w:r w:rsidRPr="00094226">
              <w:rPr>
                <w:kern w:val="0"/>
                <w:sz w:val="18"/>
                <w:szCs w:val="18"/>
              </w:rPr>
              <w:t>%</w:t>
            </w:r>
            <w:r w:rsidRPr="00094226">
              <w:rPr>
                <w:kern w:val="0"/>
                <w:sz w:val="18"/>
                <w:szCs w:val="18"/>
              </w:rPr>
              <w:t>）</w:t>
            </w:r>
          </w:p>
        </w:tc>
        <w:tc>
          <w:tcPr>
            <w:tcW w:w="625" w:type="pct"/>
            <w:shd w:val="clear" w:color="auto" w:fill="D3EDFB"/>
            <w:vAlign w:val="center"/>
          </w:tcPr>
          <w:p w:rsidR="00486F91" w:rsidRPr="00094226" w:rsidRDefault="00486F91" w:rsidP="00A56527">
            <w:pPr>
              <w:jc w:val="center"/>
              <w:rPr>
                <w:sz w:val="18"/>
                <w:szCs w:val="18"/>
              </w:rPr>
            </w:pPr>
            <w:r w:rsidRPr="00094226">
              <w:rPr>
                <w:sz w:val="18"/>
                <w:szCs w:val="18"/>
              </w:rPr>
              <w:t>74,607.00</w:t>
            </w:r>
          </w:p>
        </w:tc>
        <w:tc>
          <w:tcPr>
            <w:tcW w:w="522" w:type="pct"/>
            <w:shd w:val="clear" w:color="auto" w:fill="D3EDFB"/>
            <w:vAlign w:val="center"/>
          </w:tcPr>
          <w:p w:rsidR="00486F91" w:rsidRPr="00094226" w:rsidRDefault="00486F91" w:rsidP="00A56527">
            <w:pPr>
              <w:jc w:val="center"/>
              <w:rPr>
                <w:sz w:val="18"/>
                <w:szCs w:val="18"/>
              </w:rPr>
            </w:pPr>
            <w:r w:rsidRPr="00094226">
              <w:rPr>
                <w:sz w:val="18"/>
                <w:szCs w:val="18"/>
              </w:rPr>
              <w:t>9.30</w:t>
            </w:r>
          </w:p>
        </w:tc>
        <w:tc>
          <w:tcPr>
            <w:tcW w:w="617" w:type="pct"/>
            <w:shd w:val="clear" w:color="auto" w:fill="D3EDFB"/>
            <w:vAlign w:val="center"/>
          </w:tcPr>
          <w:p w:rsidR="00486F91" w:rsidRPr="00094226" w:rsidRDefault="00486F91" w:rsidP="00A56527">
            <w:pPr>
              <w:jc w:val="center"/>
              <w:rPr>
                <w:sz w:val="18"/>
                <w:szCs w:val="18"/>
              </w:rPr>
            </w:pPr>
            <w:r w:rsidRPr="00094226">
              <w:rPr>
                <w:sz w:val="18"/>
                <w:szCs w:val="18"/>
              </w:rPr>
              <w:t>81,874.00</w:t>
            </w:r>
          </w:p>
        </w:tc>
        <w:tc>
          <w:tcPr>
            <w:tcW w:w="530" w:type="pct"/>
            <w:shd w:val="clear" w:color="auto" w:fill="D3EDFB"/>
            <w:vAlign w:val="center"/>
          </w:tcPr>
          <w:p w:rsidR="00486F91" w:rsidRPr="00094226" w:rsidRDefault="00486F91" w:rsidP="00A56527">
            <w:pPr>
              <w:jc w:val="center"/>
              <w:rPr>
                <w:sz w:val="18"/>
                <w:szCs w:val="18"/>
              </w:rPr>
            </w:pPr>
            <w:r w:rsidRPr="00094226">
              <w:rPr>
                <w:sz w:val="18"/>
                <w:szCs w:val="18"/>
              </w:rPr>
              <w:t>8.4</w:t>
            </w:r>
            <w:r>
              <w:rPr>
                <w:rFonts w:hint="eastAsia"/>
                <w:sz w:val="18"/>
                <w:szCs w:val="18"/>
              </w:rPr>
              <w:t>0</w:t>
            </w:r>
          </w:p>
        </w:tc>
        <w:tc>
          <w:tcPr>
            <w:tcW w:w="618" w:type="pct"/>
            <w:shd w:val="clear" w:color="auto" w:fill="D3EDFB"/>
            <w:noWrap/>
            <w:vAlign w:val="center"/>
          </w:tcPr>
          <w:p w:rsidR="00486F91" w:rsidRPr="00094226" w:rsidRDefault="00486F91" w:rsidP="00A56527">
            <w:pPr>
              <w:jc w:val="center"/>
              <w:rPr>
                <w:sz w:val="18"/>
                <w:szCs w:val="18"/>
              </w:rPr>
            </w:pPr>
            <w:r w:rsidRPr="00F37109">
              <w:rPr>
                <w:sz w:val="18"/>
                <w:szCs w:val="18"/>
              </w:rPr>
              <w:t>87</w:t>
            </w:r>
            <w:r>
              <w:rPr>
                <w:rFonts w:hint="eastAsia"/>
                <w:sz w:val="18"/>
                <w:szCs w:val="18"/>
              </w:rPr>
              <w:t>,</w:t>
            </w:r>
            <w:r w:rsidRPr="00F37109">
              <w:rPr>
                <w:sz w:val="18"/>
                <w:szCs w:val="18"/>
              </w:rPr>
              <w:t>995</w:t>
            </w:r>
            <w:r w:rsidRPr="00094226">
              <w:rPr>
                <w:sz w:val="18"/>
                <w:szCs w:val="18"/>
              </w:rPr>
              <w:t>.00</w:t>
            </w:r>
          </w:p>
        </w:tc>
        <w:tc>
          <w:tcPr>
            <w:tcW w:w="503" w:type="pct"/>
            <w:shd w:val="clear" w:color="auto" w:fill="D3EDFB"/>
            <w:noWrap/>
            <w:vAlign w:val="center"/>
          </w:tcPr>
          <w:p w:rsidR="00486F91" w:rsidRPr="00094226" w:rsidRDefault="00486F91" w:rsidP="00A56527">
            <w:pPr>
              <w:jc w:val="center"/>
              <w:rPr>
                <w:sz w:val="18"/>
                <w:szCs w:val="18"/>
              </w:rPr>
            </w:pPr>
            <w:r w:rsidRPr="00B93828">
              <w:rPr>
                <w:sz w:val="18"/>
                <w:szCs w:val="18"/>
              </w:rPr>
              <w:t>8.</w:t>
            </w:r>
            <w:r w:rsidRPr="00B93828">
              <w:rPr>
                <w:rFonts w:hint="eastAsia"/>
                <w:sz w:val="18"/>
                <w:szCs w:val="18"/>
              </w:rPr>
              <w:t>3</w:t>
            </w:r>
            <w:r>
              <w:rPr>
                <w:rFonts w:hint="eastAsia"/>
                <w:sz w:val="18"/>
                <w:szCs w:val="18"/>
              </w:rPr>
              <w:t>0</w:t>
            </w:r>
          </w:p>
        </w:tc>
      </w:tr>
      <w:tr w:rsidR="00486F91" w:rsidRPr="00094226" w:rsidTr="00A56527">
        <w:trPr>
          <w:trHeight w:val="340"/>
          <w:jc w:val="center"/>
        </w:trPr>
        <w:tc>
          <w:tcPr>
            <w:tcW w:w="1585" w:type="pct"/>
            <w:shd w:val="clear" w:color="auto" w:fill="auto"/>
            <w:noWrap/>
            <w:vAlign w:val="center"/>
          </w:tcPr>
          <w:p w:rsidR="00486F91" w:rsidRPr="00094226" w:rsidRDefault="00486F91" w:rsidP="00A56527">
            <w:pPr>
              <w:widowControl/>
              <w:rPr>
                <w:kern w:val="0"/>
                <w:sz w:val="18"/>
                <w:szCs w:val="18"/>
              </w:rPr>
            </w:pPr>
            <w:r w:rsidRPr="00094226">
              <w:rPr>
                <w:kern w:val="0"/>
                <w:sz w:val="18"/>
                <w:szCs w:val="18"/>
              </w:rPr>
              <w:t>规模以上工业增加值（亿元、</w:t>
            </w:r>
            <w:r w:rsidRPr="00094226">
              <w:rPr>
                <w:kern w:val="0"/>
                <w:sz w:val="18"/>
                <w:szCs w:val="18"/>
              </w:rPr>
              <w:t>%</w:t>
            </w:r>
            <w:r w:rsidRPr="00094226">
              <w:rPr>
                <w:kern w:val="0"/>
                <w:sz w:val="18"/>
                <w:szCs w:val="18"/>
              </w:rPr>
              <w:t>）</w:t>
            </w:r>
          </w:p>
        </w:tc>
        <w:tc>
          <w:tcPr>
            <w:tcW w:w="625" w:type="pct"/>
            <w:vAlign w:val="center"/>
          </w:tcPr>
          <w:p w:rsidR="00486F91" w:rsidRPr="00094226" w:rsidRDefault="00486F91" w:rsidP="00A56527">
            <w:pPr>
              <w:jc w:val="center"/>
              <w:rPr>
                <w:sz w:val="18"/>
                <w:szCs w:val="18"/>
              </w:rPr>
            </w:pPr>
            <w:r w:rsidRPr="00094226">
              <w:rPr>
                <w:sz w:val="18"/>
                <w:szCs w:val="18"/>
              </w:rPr>
              <w:t>29,399.39</w:t>
            </w:r>
          </w:p>
        </w:tc>
        <w:tc>
          <w:tcPr>
            <w:tcW w:w="522" w:type="pct"/>
            <w:vAlign w:val="center"/>
          </w:tcPr>
          <w:p w:rsidR="00486F91" w:rsidRPr="00094226" w:rsidRDefault="00486F91" w:rsidP="00A56527">
            <w:pPr>
              <w:jc w:val="center"/>
              <w:rPr>
                <w:sz w:val="18"/>
                <w:szCs w:val="18"/>
              </w:rPr>
            </w:pPr>
            <w:r w:rsidRPr="00094226">
              <w:rPr>
                <w:sz w:val="18"/>
                <w:szCs w:val="18"/>
              </w:rPr>
              <w:t>11.50</w:t>
            </w:r>
          </w:p>
        </w:tc>
        <w:tc>
          <w:tcPr>
            <w:tcW w:w="617" w:type="pct"/>
            <w:vAlign w:val="center"/>
          </w:tcPr>
          <w:p w:rsidR="00486F91" w:rsidRPr="00094226" w:rsidRDefault="00486F91" w:rsidP="00A56527">
            <w:pPr>
              <w:jc w:val="center"/>
              <w:rPr>
                <w:sz w:val="18"/>
                <w:szCs w:val="18"/>
              </w:rPr>
            </w:pPr>
            <w:r w:rsidRPr="00094226">
              <w:rPr>
                <w:sz w:val="18"/>
                <w:szCs w:val="18"/>
              </w:rPr>
              <w:t>31,507.87</w:t>
            </w:r>
          </w:p>
        </w:tc>
        <w:tc>
          <w:tcPr>
            <w:tcW w:w="530" w:type="pct"/>
            <w:vAlign w:val="center"/>
          </w:tcPr>
          <w:p w:rsidR="00486F91" w:rsidRPr="00094226" w:rsidRDefault="00486F91" w:rsidP="00A56527">
            <w:pPr>
              <w:jc w:val="center"/>
              <w:rPr>
                <w:sz w:val="18"/>
                <w:szCs w:val="18"/>
              </w:rPr>
            </w:pPr>
            <w:r w:rsidRPr="00094226">
              <w:rPr>
                <w:sz w:val="18"/>
                <w:szCs w:val="18"/>
              </w:rPr>
              <w:t>9.9</w:t>
            </w:r>
            <w:r>
              <w:rPr>
                <w:rFonts w:hint="eastAsia"/>
                <w:sz w:val="18"/>
                <w:szCs w:val="18"/>
              </w:rPr>
              <w:t>0</w:t>
            </w:r>
          </w:p>
        </w:tc>
        <w:tc>
          <w:tcPr>
            <w:tcW w:w="618" w:type="pct"/>
            <w:shd w:val="clear" w:color="auto" w:fill="auto"/>
            <w:noWrap/>
            <w:vAlign w:val="center"/>
          </w:tcPr>
          <w:p w:rsidR="00486F91" w:rsidRPr="00094226" w:rsidRDefault="00486F91" w:rsidP="00A56527">
            <w:pPr>
              <w:jc w:val="center"/>
              <w:rPr>
                <w:sz w:val="18"/>
                <w:szCs w:val="18"/>
              </w:rPr>
            </w:pPr>
            <w:r w:rsidRPr="00B93828">
              <w:rPr>
                <w:sz w:val="18"/>
                <w:szCs w:val="18"/>
              </w:rPr>
              <w:t>33</w:t>
            </w:r>
            <w:r>
              <w:rPr>
                <w:rFonts w:hint="eastAsia"/>
                <w:sz w:val="18"/>
                <w:szCs w:val="18"/>
              </w:rPr>
              <w:t>,</w:t>
            </w:r>
            <w:r w:rsidRPr="00B93828">
              <w:rPr>
                <w:sz w:val="18"/>
                <w:szCs w:val="18"/>
              </w:rPr>
              <w:t>422.5</w:t>
            </w:r>
            <w:r>
              <w:rPr>
                <w:rFonts w:hint="eastAsia"/>
                <w:sz w:val="18"/>
                <w:szCs w:val="18"/>
              </w:rPr>
              <w:t>0</w:t>
            </w:r>
          </w:p>
        </w:tc>
        <w:tc>
          <w:tcPr>
            <w:tcW w:w="503" w:type="pct"/>
            <w:shd w:val="clear" w:color="auto" w:fill="auto"/>
            <w:noWrap/>
            <w:vAlign w:val="center"/>
          </w:tcPr>
          <w:p w:rsidR="00486F91" w:rsidRPr="00094226" w:rsidRDefault="00486F91" w:rsidP="00A56527">
            <w:pPr>
              <w:jc w:val="center"/>
              <w:rPr>
                <w:sz w:val="18"/>
                <w:szCs w:val="18"/>
              </w:rPr>
            </w:pPr>
            <w:r>
              <w:rPr>
                <w:rFonts w:hint="eastAsia"/>
                <w:sz w:val="18"/>
                <w:szCs w:val="18"/>
              </w:rPr>
              <w:t>8.30</w:t>
            </w:r>
          </w:p>
        </w:tc>
      </w:tr>
      <w:tr w:rsidR="00486F91" w:rsidRPr="00E85AEF" w:rsidTr="00A56527">
        <w:trPr>
          <w:trHeight w:val="340"/>
          <w:jc w:val="center"/>
        </w:trPr>
        <w:tc>
          <w:tcPr>
            <w:tcW w:w="1585" w:type="pct"/>
            <w:shd w:val="clear" w:color="auto" w:fill="D3EDFB"/>
            <w:noWrap/>
            <w:vAlign w:val="center"/>
          </w:tcPr>
          <w:p w:rsidR="00486F91" w:rsidRPr="00E85AEF" w:rsidRDefault="00486F91" w:rsidP="00A56527">
            <w:pPr>
              <w:widowControl/>
              <w:rPr>
                <w:kern w:val="0"/>
                <w:sz w:val="18"/>
                <w:szCs w:val="18"/>
                <w:vertAlign w:val="superscript"/>
              </w:rPr>
            </w:pPr>
            <w:r w:rsidRPr="00E85AEF">
              <w:rPr>
                <w:kern w:val="0"/>
                <w:sz w:val="18"/>
                <w:szCs w:val="18"/>
              </w:rPr>
              <w:t>固定资产投资额（亿元、</w:t>
            </w:r>
            <w:r w:rsidRPr="00E85AEF">
              <w:rPr>
                <w:kern w:val="0"/>
                <w:sz w:val="18"/>
                <w:szCs w:val="18"/>
              </w:rPr>
              <w:t>%</w:t>
            </w:r>
            <w:r w:rsidRPr="00E85AEF">
              <w:rPr>
                <w:kern w:val="0"/>
                <w:sz w:val="18"/>
                <w:szCs w:val="18"/>
              </w:rPr>
              <w:t>）</w:t>
            </w:r>
          </w:p>
        </w:tc>
        <w:tc>
          <w:tcPr>
            <w:tcW w:w="625" w:type="pct"/>
            <w:shd w:val="clear" w:color="auto" w:fill="D3EDFB"/>
            <w:vAlign w:val="center"/>
          </w:tcPr>
          <w:p w:rsidR="00486F91" w:rsidRPr="00E85AEF" w:rsidRDefault="00486F91" w:rsidP="00A56527">
            <w:pPr>
              <w:jc w:val="center"/>
              <w:rPr>
                <w:sz w:val="18"/>
                <w:szCs w:val="18"/>
              </w:rPr>
            </w:pPr>
            <w:r w:rsidRPr="00E85AEF">
              <w:rPr>
                <w:sz w:val="18"/>
                <w:szCs w:val="18"/>
              </w:rPr>
              <w:t>35,982.50</w:t>
            </w:r>
          </w:p>
        </w:tc>
        <w:tc>
          <w:tcPr>
            <w:tcW w:w="522" w:type="pct"/>
            <w:shd w:val="clear" w:color="auto" w:fill="D3EDFB"/>
            <w:vAlign w:val="center"/>
          </w:tcPr>
          <w:p w:rsidR="00486F91" w:rsidRPr="00E85AEF" w:rsidRDefault="00486F91" w:rsidP="00A56527">
            <w:pPr>
              <w:jc w:val="center"/>
              <w:rPr>
                <w:sz w:val="18"/>
                <w:szCs w:val="18"/>
              </w:rPr>
            </w:pPr>
            <w:r w:rsidRPr="00E85AEF">
              <w:rPr>
                <w:sz w:val="18"/>
                <w:szCs w:val="18"/>
              </w:rPr>
              <w:t>19.60</w:t>
            </w:r>
          </w:p>
        </w:tc>
        <w:tc>
          <w:tcPr>
            <w:tcW w:w="617" w:type="pct"/>
            <w:shd w:val="clear" w:color="auto" w:fill="D3EDFB"/>
            <w:vAlign w:val="center"/>
          </w:tcPr>
          <w:p w:rsidR="00486F91" w:rsidRPr="00E85AEF" w:rsidRDefault="00486F91" w:rsidP="00A56527">
            <w:pPr>
              <w:jc w:val="center"/>
              <w:rPr>
                <w:sz w:val="18"/>
                <w:szCs w:val="18"/>
              </w:rPr>
            </w:pPr>
            <w:r w:rsidRPr="00E85AEF">
              <w:rPr>
                <w:sz w:val="18"/>
                <w:szCs w:val="18"/>
              </w:rPr>
              <w:t>41,</w:t>
            </w:r>
            <w:r w:rsidRPr="00E85AEF">
              <w:rPr>
                <w:rFonts w:hint="eastAsia"/>
                <w:sz w:val="18"/>
                <w:szCs w:val="18"/>
              </w:rPr>
              <w:t>938.65</w:t>
            </w:r>
          </w:p>
        </w:tc>
        <w:tc>
          <w:tcPr>
            <w:tcW w:w="530" w:type="pct"/>
            <w:shd w:val="clear" w:color="auto" w:fill="D3EDFB"/>
            <w:vAlign w:val="center"/>
          </w:tcPr>
          <w:p w:rsidR="00486F91" w:rsidRPr="00E85AEF" w:rsidRDefault="00486F91" w:rsidP="00A56527">
            <w:pPr>
              <w:jc w:val="center"/>
              <w:rPr>
                <w:sz w:val="18"/>
                <w:szCs w:val="18"/>
              </w:rPr>
            </w:pPr>
            <w:r w:rsidRPr="00E85AEF">
              <w:rPr>
                <w:sz w:val="18"/>
                <w:szCs w:val="18"/>
              </w:rPr>
              <w:t>15.</w:t>
            </w:r>
            <w:r w:rsidRPr="00E85AEF">
              <w:rPr>
                <w:rFonts w:hint="eastAsia"/>
                <w:sz w:val="18"/>
                <w:szCs w:val="18"/>
              </w:rPr>
              <w:t>30</w:t>
            </w:r>
          </w:p>
        </w:tc>
        <w:tc>
          <w:tcPr>
            <w:tcW w:w="618" w:type="pct"/>
            <w:shd w:val="clear" w:color="auto" w:fill="D3EDFB"/>
            <w:noWrap/>
            <w:vAlign w:val="center"/>
          </w:tcPr>
          <w:p w:rsidR="00486F91" w:rsidRPr="00E85AEF" w:rsidRDefault="00486F91" w:rsidP="00A56527">
            <w:pPr>
              <w:jc w:val="center"/>
              <w:rPr>
                <w:sz w:val="18"/>
                <w:szCs w:val="18"/>
              </w:rPr>
            </w:pPr>
            <w:r w:rsidRPr="00BF7761">
              <w:rPr>
                <w:sz w:val="18"/>
                <w:szCs w:val="18"/>
              </w:rPr>
              <w:t>45</w:t>
            </w:r>
            <w:r>
              <w:rPr>
                <w:rFonts w:hint="eastAsia"/>
                <w:sz w:val="18"/>
                <w:szCs w:val="18"/>
              </w:rPr>
              <w:t>,</w:t>
            </w:r>
            <w:r w:rsidRPr="00BF7761">
              <w:rPr>
                <w:sz w:val="18"/>
                <w:szCs w:val="18"/>
              </w:rPr>
              <w:t>905.2</w:t>
            </w:r>
            <w:r>
              <w:rPr>
                <w:rFonts w:hint="eastAsia"/>
                <w:sz w:val="18"/>
                <w:szCs w:val="18"/>
              </w:rPr>
              <w:t>0</w:t>
            </w:r>
          </w:p>
        </w:tc>
        <w:tc>
          <w:tcPr>
            <w:tcW w:w="503" w:type="pct"/>
            <w:shd w:val="clear" w:color="auto" w:fill="D3EDFB"/>
            <w:noWrap/>
            <w:vAlign w:val="center"/>
          </w:tcPr>
          <w:p w:rsidR="00486F91" w:rsidRPr="00E85AEF" w:rsidRDefault="00486F91" w:rsidP="00A56527">
            <w:pPr>
              <w:jc w:val="center"/>
              <w:rPr>
                <w:sz w:val="18"/>
                <w:szCs w:val="18"/>
              </w:rPr>
            </w:pPr>
            <w:r>
              <w:rPr>
                <w:rFonts w:hint="eastAsia"/>
                <w:sz w:val="18"/>
                <w:szCs w:val="18"/>
              </w:rPr>
              <w:t>10.5</w:t>
            </w:r>
            <w:r w:rsidRPr="00E85AEF">
              <w:rPr>
                <w:rFonts w:hint="eastAsia"/>
                <w:sz w:val="18"/>
                <w:szCs w:val="18"/>
              </w:rPr>
              <w:t>0</w:t>
            </w:r>
          </w:p>
        </w:tc>
      </w:tr>
      <w:tr w:rsidR="00486F91" w:rsidRPr="00E85AEF" w:rsidTr="00A56527">
        <w:trPr>
          <w:trHeight w:val="340"/>
          <w:jc w:val="center"/>
        </w:trPr>
        <w:tc>
          <w:tcPr>
            <w:tcW w:w="1585" w:type="pct"/>
            <w:shd w:val="clear" w:color="auto" w:fill="auto"/>
            <w:noWrap/>
            <w:vAlign w:val="center"/>
          </w:tcPr>
          <w:p w:rsidR="00486F91" w:rsidRPr="00E85AEF" w:rsidRDefault="00486F91" w:rsidP="00A56527">
            <w:pPr>
              <w:widowControl/>
              <w:rPr>
                <w:kern w:val="0"/>
                <w:sz w:val="18"/>
                <w:szCs w:val="18"/>
              </w:rPr>
            </w:pPr>
            <w:r w:rsidRPr="00E85AEF">
              <w:rPr>
                <w:kern w:val="0"/>
                <w:sz w:val="18"/>
                <w:szCs w:val="18"/>
              </w:rPr>
              <w:t>社会消费品零售总额（亿元、</w:t>
            </w:r>
            <w:r w:rsidRPr="00E85AEF">
              <w:rPr>
                <w:kern w:val="0"/>
                <w:sz w:val="18"/>
                <w:szCs w:val="18"/>
              </w:rPr>
              <w:t>%</w:t>
            </w:r>
            <w:r w:rsidRPr="00E85AEF">
              <w:rPr>
                <w:kern w:val="0"/>
                <w:sz w:val="18"/>
                <w:szCs w:val="18"/>
              </w:rPr>
              <w:t>）</w:t>
            </w:r>
          </w:p>
        </w:tc>
        <w:tc>
          <w:tcPr>
            <w:tcW w:w="625" w:type="pct"/>
            <w:vAlign w:val="center"/>
          </w:tcPr>
          <w:p w:rsidR="00486F91" w:rsidRPr="00E85AEF" w:rsidRDefault="00486F91" w:rsidP="00A56527">
            <w:pPr>
              <w:jc w:val="center"/>
              <w:rPr>
                <w:sz w:val="18"/>
                <w:szCs w:val="18"/>
              </w:rPr>
            </w:pPr>
            <w:r w:rsidRPr="00E85AEF">
              <w:rPr>
                <w:sz w:val="18"/>
                <w:szCs w:val="18"/>
              </w:rPr>
              <w:t>20,656.50</w:t>
            </w:r>
          </w:p>
        </w:tc>
        <w:tc>
          <w:tcPr>
            <w:tcW w:w="522" w:type="pct"/>
            <w:vAlign w:val="center"/>
          </w:tcPr>
          <w:p w:rsidR="00486F91" w:rsidRPr="00E85AEF" w:rsidRDefault="00486F91" w:rsidP="00A56527">
            <w:pPr>
              <w:jc w:val="center"/>
              <w:rPr>
                <w:sz w:val="18"/>
                <w:szCs w:val="18"/>
              </w:rPr>
            </w:pPr>
            <w:r w:rsidRPr="00E85AEF">
              <w:rPr>
                <w:sz w:val="18"/>
                <w:szCs w:val="18"/>
              </w:rPr>
              <w:t>13.40</w:t>
            </w:r>
          </w:p>
        </w:tc>
        <w:tc>
          <w:tcPr>
            <w:tcW w:w="617" w:type="pct"/>
            <w:vAlign w:val="center"/>
          </w:tcPr>
          <w:p w:rsidR="00486F91" w:rsidRPr="00E85AEF" w:rsidRDefault="00486F91" w:rsidP="00A56527">
            <w:pPr>
              <w:jc w:val="center"/>
              <w:rPr>
                <w:sz w:val="18"/>
                <w:szCs w:val="18"/>
              </w:rPr>
            </w:pPr>
            <w:r w:rsidRPr="00E85AEF">
              <w:rPr>
                <w:sz w:val="18"/>
                <w:szCs w:val="18"/>
              </w:rPr>
              <w:t>23,</w:t>
            </w:r>
            <w:r w:rsidRPr="00E85AEF">
              <w:rPr>
                <w:rFonts w:hint="eastAsia"/>
                <w:sz w:val="18"/>
                <w:szCs w:val="18"/>
              </w:rPr>
              <w:t>458.07</w:t>
            </w:r>
          </w:p>
        </w:tc>
        <w:tc>
          <w:tcPr>
            <w:tcW w:w="530" w:type="pct"/>
            <w:vAlign w:val="center"/>
          </w:tcPr>
          <w:p w:rsidR="00486F91" w:rsidRPr="00E85AEF" w:rsidRDefault="00486F91" w:rsidP="00A56527">
            <w:pPr>
              <w:jc w:val="center"/>
              <w:rPr>
                <w:sz w:val="18"/>
                <w:szCs w:val="18"/>
              </w:rPr>
            </w:pPr>
            <w:r w:rsidRPr="00E85AEF">
              <w:rPr>
                <w:sz w:val="18"/>
                <w:szCs w:val="18"/>
              </w:rPr>
              <w:t>12.4</w:t>
            </w:r>
            <w:r w:rsidRPr="00E85AEF">
              <w:rPr>
                <w:rFonts w:hint="eastAsia"/>
                <w:sz w:val="18"/>
                <w:szCs w:val="18"/>
              </w:rPr>
              <w:t>0</w:t>
            </w:r>
          </w:p>
        </w:tc>
        <w:tc>
          <w:tcPr>
            <w:tcW w:w="618" w:type="pct"/>
            <w:shd w:val="clear" w:color="auto" w:fill="auto"/>
            <w:noWrap/>
            <w:vAlign w:val="center"/>
          </w:tcPr>
          <w:p w:rsidR="00486F91" w:rsidRPr="00E85AEF" w:rsidRDefault="00486F91" w:rsidP="00A56527">
            <w:pPr>
              <w:jc w:val="center"/>
              <w:rPr>
                <w:sz w:val="18"/>
                <w:szCs w:val="18"/>
              </w:rPr>
            </w:pPr>
            <w:r w:rsidRPr="00F37109">
              <w:rPr>
                <w:sz w:val="18"/>
                <w:szCs w:val="18"/>
              </w:rPr>
              <w:t>25</w:t>
            </w:r>
            <w:r>
              <w:rPr>
                <w:rFonts w:hint="eastAsia"/>
                <w:sz w:val="18"/>
                <w:szCs w:val="18"/>
              </w:rPr>
              <w:t>,</w:t>
            </w:r>
            <w:r w:rsidRPr="00F37109">
              <w:rPr>
                <w:sz w:val="18"/>
                <w:szCs w:val="18"/>
              </w:rPr>
              <w:t>876.8</w:t>
            </w:r>
            <w:r>
              <w:rPr>
                <w:rFonts w:hint="eastAsia"/>
                <w:sz w:val="18"/>
                <w:szCs w:val="18"/>
              </w:rPr>
              <w:t>0</w:t>
            </w:r>
          </w:p>
        </w:tc>
        <w:tc>
          <w:tcPr>
            <w:tcW w:w="503" w:type="pct"/>
            <w:shd w:val="clear" w:color="auto" w:fill="auto"/>
            <w:noWrap/>
            <w:vAlign w:val="center"/>
          </w:tcPr>
          <w:p w:rsidR="00486F91" w:rsidRPr="00E85AEF" w:rsidRDefault="00486F91" w:rsidP="00A56527">
            <w:pPr>
              <w:jc w:val="center"/>
              <w:rPr>
                <w:sz w:val="18"/>
                <w:szCs w:val="18"/>
              </w:rPr>
            </w:pPr>
            <w:r>
              <w:rPr>
                <w:rFonts w:hint="eastAsia"/>
                <w:sz w:val="18"/>
                <w:szCs w:val="18"/>
              </w:rPr>
              <w:t>10.3</w:t>
            </w:r>
            <w:r w:rsidRPr="00E85AEF">
              <w:rPr>
                <w:rFonts w:hint="eastAsia"/>
                <w:sz w:val="18"/>
                <w:szCs w:val="18"/>
              </w:rPr>
              <w:t>0</w:t>
            </w:r>
          </w:p>
        </w:tc>
      </w:tr>
      <w:tr w:rsidR="00486F91" w:rsidRPr="00E85AEF" w:rsidTr="00A56527">
        <w:trPr>
          <w:trHeight w:val="340"/>
          <w:jc w:val="center"/>
        </w:trPr>
        <w:tc>
          <w:tcPr>
            <w:tcW w:w="1585" w:type="pct"/>
            <w:shd w:val="clear" w:color="auto" w:fill="D3EDFB"/>
            <w:noWrap/>
            <w:vAlign w:val="center"/>
          </w:tcPr>
          <w:p w:rsidR="00486F91" w:rsidRPr="00E85AEF" w:rsidRDefault="00486F91" w:rsidP="00A56527">
            <w:pPr>
              <w:widowControl/>
              <w:rPr>
                <w:kern w:val="0"/>
                <w:sz w:val="18"/>
                <w:szCs w:val="18"/>
              </w:rPr>
            </w:pPr>
            <w:r w:rsidRPr="00E85AEF">
              <w:rPr>
                <w:kern w:val="0"/>
                <w:sz w:val="18"/>
                <w:szCs w:val="18"/>
              </w:rPr>
              <w:t>进出口总额（亿美元、</w:t>
            </w:r>
            <w:r w:rsidRPr="00E85AEF">
              <w:rPr>
                <w:kern w:val="0"/>
                <w:sz w:val="18"/>
                <w:szCs w:val="18"/>
              </w:rPr>
              <w:t>%</w:t>
            </w:r>
            <w:r w:rsidRPr="00E85AEF">
              <w:rPr>
                <w:kern w:val="0"/>
                <w:sz w:val="18"/>
                <w:szCs w:val="18"/>
              </w:rPr>
              <w:t>）</w:t>
            </w:r>
          </w:p>
        </w:tc>
        <w:tc>
          <w:tcPr>
            <w:tcW w:w="625" w:type="pct"/>
            <w:shd w:val="clear" w:color="auto" w:fill="D3EDFB"/>
            <w:vAlign w:val="center"/>
          </w:tcPr>
          <w:p w:rsidR="00486F91" w:rsidRPr="00E85AEF" w:rsidRDefault="00486F91" w:rsidP="00A56527">
            <w:pPr>
              <w:jc w:val="center"/>
              <w:rPr>
                <w:sz w:val="18"/>
                <w:szCs w:val="18"/>
              </w:rPr>
            </w:pPr>
            <w:r w:rsidRPr="00E85AEF">
              <w:rPr>
                <w:sz w:val="18"/>
                <w:szCs w:val="18"/>
              </w:rPr>
              <w:t>5,508.40</w:t>
            </w:r>
          </w:p>
        </w:tc>
        <w:tc>
          <w:tcPr>
            <w:tcW w:w="522" w:type="pct"/>
            <w:shd w:val="clear" w:color="auto" w:fill="D3EDFB"/>
            <w:vAlign w:val="center"/>
          </w:tcPr>
          <w:p w:rsidR="00486F91" w:rsidRPr="00E85AEF" w:rsidRDefault="00486F91" w:rsidP="00A56527">
            <w:pPr>
              <w:jc w:val="center"/>
              <w:rPr>
                <w:sz w:val="18"/>
                <w:szCs w:val="18"/>
              </w:rPr>
            </w:pPr>
            <w:r w:rsidRPr="00E85AEF">
              <w:rPr>
                <w:sz w:val="18"/>
                <w:szCs w:val="18"/>
              </w:rPr>
              <w:t>0.50</w:t>
            </w:r>
          </w:p>
        </w:tc>
        <w:tc>
          <w:tcPr>
            <w:tcW w:w="617" w:type="pct"/>
            <w:shd w:val="clear" w:color="auto" w:fill="D3EDFB"/>
            <w:vAlign w:val="center"/>
          </w:tcPr>
          <w:p w:rsidR="00486F91" w:rsidRPr="00E85AEF" w:rsidRDefault="00486F91" w:rsidP="00A56527">
            <w:pPr>
              <w:jc w:val="center"/>
              <w:rPr>
                <w:sz w:val="18"/>
                <w:szCs w:val="18"/>
              </w:rPr>
            </w:pPr>
            <w:r w:rsidRPr="00E85AEF">
              <w:rPr>
                <w:sz w:val="18"/>
                <w:szCs w:val="18"/>
              </w:rPr>
              <w:t>5,637.6</w:t>
            </w:r>
            <w:r w:rsidRPr="00E85AEF">
              <w:rPr>
                <w:rFonts w:hint="eastAsia"/>
                <w:sz w:val="18"/>
                <w:szCs w:val="18"/>
              </w:rPr>
              <w:t>2</w:t>
            </w:r>
          </w:p>
        </w:tc>
        <w:tc>
          <w:tcPr>
            <w:tcW w:w="530" w:type="pct"/>
            <w:shd w:val="clear" w:color="auto" w:fill="D3EDFB"/>
            <w:vAlign w:val="center"/>
          </w:tcPr>
          <w:p w:rsidR="00486F91" w:rsidRPr="00E85AEF" w:rsidRDefault="00486F91" w:rsidP="00A56527">
            <w:pPr>
              <w:jc w:val="center"/>
              <w:rPr>
                <w:sz w:val="18"/>
                <w:szCs w:val="18"/>
              </w:rPr>
            </w:pPr>
            <w:r w:rsidRPr="00E85AEF">
              <w:rPr>
                <w:sz w:val="18"/>
                <w:szCs w:val="18"/>
              </w:rPr>
              <w:t>2.3</w:t>
            </w:r>
            <w:r w:rsidRPr="00E85AEF">
              <w:rPr>
                <w:rFonts w:hint="eastAsia"/>
                <w:sz w:val="18"/>
                <w:szCs w:val="18"/>
              </w:rPr>
              <w:t>0</w:t>
            </w:r>
          </w:p>
        </w:tc>
        <w:tc>
          <w:tcPr>
            <w:tcW w:w="618" w:type="pct"/>
            <w:shd w:val="clear" w:color="auto" w:fill="D3EDFB"/>
            <w:noWrap/>
            <w:vAlign w:val="center"/>
          </w:tcPr>
          <w:p w:rsidR="00486F91" w:rsidRPr="00E85AEF" w:rsidRDefault="00486F91" w:rsidP="00A56527">
            <w:pPr>
              <w:jc w:val="center"/>
              <w:rPr>
                <w:sz w:val="18"/>
                <w:szCs w:val="18"/>
              </w:rPr>
            </w:pPr>
            <w:r w:rsidRPr="00F37109">
              <w:rPr>
                <w:sz w:val="18"/>
                <w:szCs w:val="18"/>
              </w:rPr>
              <w:t>5</w:t>
            </w:r>
            <w:r>
              <w:rPr>
                <w:rFonts w:hint="eastAsia"/>
                <w:sz w:val="18"/>
                <w:szCs w:val="18"/>
              </w:rPr>
              <w:t>,</w:t>
            </w:r>
            <w:r w:rsidRPr="00F37109">
              <w:rPr>
                <w:sz w:val="18"/>
                <w:szCs w:val="18"/>
              </w:rPr>
              <w:t>456.1</w:t>
            </w:r>
            <w:r>
              <w:rPr>
                <w:rFonts w:hint="eastAsia"/>
                <w:sz w:val="18"/>
                <w:szCs w:val="18"/>
              </w:rPr>
              <w:t>0</w:t>
            </w:r>
          </w:p>
        </w:tc>
        <w:tc>
          <w:tcPr>
            <w:tcW w:w="503" w:type="pct"/>
            <w:shd w:val="clear" w:color="auto" w:fill="D3EDFB"/>
            <w:noWrap/>
            <w:vAlign w:val="center"/>
          </w:tcPr>
          <w:p w:rsidR="00486F91" w:rsidRPr="00E85AEF" w:rsidRDefault="00486F91" w:rsidP="00A56527">
            <w:pPr>
              <w:jc w:val="center"/>
              <w:rPr>
                <w:sz w:val="18"/>
                <w:szCs w:val="18"/>
              </w:rPr>
            </w:pPr>
            <w:r>
              <w:rPr>
                <w:rFonts w:hint="eastAsia"/>
                <w:sz w:val="18"/>
                <w:szCs w:val="18"/>
              </w:rPr>
              <w:t>-3.2</w:t>
            </w:r>
            <w:r w:rsidRPr="00E85AEF">
              <w:rPr>
                <w:rFonts w:hint="eastAsia"/>
                <w:sz w:val="18"/>
                <w:szCs w:val="18"/>
              </w:rPr>
              <w:t>0</w:t>
            </w:r>
          </w:p>
        </w:tc>
      </w:tr>
      <w:tr w:rsidR="00486F91" w:rsidRPr="00E85AEF" w:rsidTr="00A56527">
        <w:trPr>
          <w:trHeight w:val="340"/>
          <w:jc w:val="center"/>
        </w:trPr>
        <w:tc>
          <w:tcPr>
            <w:tcW w:w="1585" w:type="pct"/>
            <w:shd w:val="clear" w:color="auto" w:fill="FFFFFF"/>
            <w:noWrap/>
            <w:vAlign w:val="center"/>
          </w:tcPr>
          <w:p w:rsidR="00486F91" w:rsidRPr="00E85AEF" w:rsidRDefault="00486F91" w:rsidP="00A56527">
            <w:pPr>
              <w:widowControl/>
              <w:rPr>
                <w:kern w:val="0"/>
                <w:sz w:val="18"/>
                <w:szCs w:val="18"/>
              </w:rPr>
            </w:pPr>
            <w:r w:rsidRPr="00E85AEF">
              <w:rPr>
                <w:kern w:val="0"/>
                <w:sz w:val="18"/>
                <w:szCs w:val="18"/>
              </w:rPr>
              <w:t>三次产业结构比例</w:t>
            </w:r>
          </w:p>
        </w:tc>
        <w:tc>
          <w:tcPr>
            <w:tcW w:w="1147" w:type="pct"/>
            <w:gridSpan w:val="2"/>
            <w:shd w:val="clear" w:color="auto" w:fill="FFFFFF"/>
            <w:vAlign w:val="center"/>
          </w:tcPr>
          <w:p w:rsidR="00486F91" w:rsidRPr="00E85AEF" w:rsidRDefault="00E61A92" w:rsidP="00A56527">
            <w:pPr>
              <w:widowControl/>
              <w:jc w:val="center"/>
              <w:rPr>
                <w:kern w:val="0"/>
                <w:sz w:val="18"/>
                <w:szCs w:val="18"/>
              </w:rPr>
            </w:pPr>
            <w:r>
              <w:rPr>
                <w:kern w:val="0"/>
                <w:sz w:val="18"/>
                <w:szCs w:val="18"/>
              </w:rPr>
              <w:t>6.1:49.2:44.7</w:t>
            </w:r>
          </w:p>
        </w:tc>
        <w:tc>
          <w:tcPr>
            <w:tcW w:w="1147" w:type="pct"/>
            <w:gridSpan w:val="2"/>
            <w:shd w:val="clear" w:color="auto" w:fill="FFFFFF"/>
            <w:vAlign w:val="center"/>
          </w:tcPr>
          <w:p w:rsidR="00486F91" w:rsidRPr="00E85AEF" w:rsidRDefault="00486F91" w:rsidP="00A56527">
            <w:pPr>
              <w:widowControl/>
              <w:jc w:val="center"/>
              <w:rPr>
                <w:kern w:val="0"/>
                <w:sz w:val="18"/>
                <w:szCs w:val="18"/>
              </w:rPr>
            </w:pPr>
            <w:r w:rsidRPr="00E85AEF">
              <w:rPr>
                <w:kern w:val="0"/>
                <w:sz w:val="18"/>
                <w:szCs w:val="18"/>
              </w:rPr>
              <w:t>5.6</w:t>
            </w:r>
            <w:r w:rsidRPr="00E85AEF">
              <w:rPr>
                <w:rFonts w:ascii="宋体" w:hAnsi="宋体" w:cs="宋体" w:hint="eastAsia"/>
                <w:kern w:val="0"/>
                <w:sz w:val="18"/>
                <w:szCs w:val="18"/>
              </w:rPr>
              <w:t>:</w:t>
            </w:r>
            <w:r w:rsidRPr="00E85AEF">
              <w:rPr>
                <w:kern w:val="0"/>
                <w:sz w:val="18"/>
                <w:szCs w:val="18"/>
              </w:rPr>
              <w:t>47.</w:t>
            </w:r>
            <w:r w:rsidRPr="00E85AEF">
              <w:rPr>
                <w:rFonts w:hint="eastAsia"/>
                <w:kern w:val="0"/>
                <w:sz w:val="18"/>
                <w:szCs w:val="18"/>
              </w:rPr>
              <w:t>4</w:t>
            </w:r>
            <w:r w:rsidRPr="00E85AEF">
              <w:rPr>
                <w:rFonts w:ascii="宋体" w:hAnsi="宋体" w:cs="宋体" w:hint="eastAsia"/>
                <w:kern w:val="0"/>
                <w:sz w:val="18"/>
                <w:szCs w:val="18"/>
              </w:rPr>
              <w:t>:</w:t>
            </w:r>
            <w:r w:rsidRPr="00E85AEF">
              <w:rPr>
                <w:kern w:val="0"/>
                <w:sz w:val="18"/>
                <w:szCs w:val="18"/>
              </w:rPr>
              <w:t>4</w:t>
            </w:r>
            <w:r w:rsidRPr="00E85AEF">
              <w:rPr>
                <w:rFonts w:hint="eastAsia"/>
                <w:kern w:val="0"/>
                <w:sz w:val="18"/>
                <w:szCs w:val="18"/>
              </w:rPr>
              <w:t>7.0</w:t>
            </w:r>
          </w:p>
        </w:tc>
        <w:tc>
          <w:tcPr>
            <w:tcW w:w="1121" w:type="pct"/>
            <w:gridSpan w:val="2"/>
            <w:shd w:val="clear" w:color="auto" w:fill="FFFFFF"/>
            <w:vAlign w:val="center"/>
          </w:tcPr>
          <w:p w:rsidR="00486F91" w:rsidRPr="00E85AEF" w:rsidRDefault="00486F91" w:rsidP="00A56527">
            <w:pPr>
              <w:widowControl/>
              <w:jc w:val="center"/>
              <w:rPr>
                <w:kern w:val="0"/>
                <w:sz w:val="18"/>
                <w:szCs w:val="18"/>
              </w:rPr>
            </w:pPr>
            <w:r w:rsidRPr="00D925DD">
              <w:rPr>
                <w:kern w:val="0"/>
                <w:sz w:val="18"/>
                <w:szCs w:val="18"/>
              </w:rPr>
              <w:t>5.</w:t>
            </w:r>
            <w:r w:rsidRPr="00D925DD">
              <w:rPr>
                <w:rFonts w:hint="eastAsia"/>
                <w:kern w:val="0"/>
                <w:sz w:val="18"/>
                <w:szCs w:val="18"/>
              </w:rPr>
              <w:t>7</w:t>
            </w:r>
            <w:r w:rsidRPr="00D925DD">
              <w:rPr>
                <w:kern w:val="0"/>
                <w:sz w:val="18"/>
                <w:szCs w:val="18"/>
              </w:rPr>
              <w:t>:4</w:t>
            </w:r>
            <w:r w:rsidRPr="00D925DD">
              <w:rPr>
                <w:rFonts w:hint="eastAsia"/>
                <w:kern w:val="0"/>
                <w:sz w:val="18"/>
                <w:szCs w:val="18"/>
              </w:rPr>
              <w:t>5</w:t>
            </w:r>
            <w:r w:rsidRPr="00D925DD">
              <w:rPr>
                <w:kern w:val="0"/>
                <w:sz w:val="18"/>
                <w:szCs w:val="18"/>
              </w:rPr>
              <w:t>.</w:t>
            </w:r>
            <w:r w:rsidRPr="00D925DD">
              <w:rPr>
                <w:rFonts w:hint="eastAsia"/>
                <w:kern w:val="0"/>
                <w:sz w:val="18"/>
                <w:szCs w:val="18"/>
              </w:rPr>
              <w:t>7</w:t>
            </w:r>
            <w:r w:rsidRPr="00D925DD">
              <w:rPr>
                <w:kern w:val="0"/>
                <w:sz w:val="18"/>
                <w:szCs w:val="18"/>
              </w:rPr>
              <w:t>:4</w:t>
            </w:r>
            <w:r w:rsidRPr="00D925DD">
              <w:rPr>
                <w:rFonts w:hint="eastAsia"/>
                <w:kern w:val="0"/>
                <w:sz w:val="18"/>
                <w:szCs w:val="18"/>
              </w:rPr>
              <w:t>8.6</w:t>
            </w:r>
          </w:p>
        </w:tc>
      </w:tr>
      <w:tr w:rsidR="00486F91" w:rsidRPr="00E85AEF" w:rsidTr="00A56527">
        <w:trPr>
          <w:trHeight w:val="340"/>
          <w:jc w:val="center"/>
        </w:trPr>
        <w:tc>
          <w:tcPr>
            <w:tcW w:w="1585" w:type="pct"/>
            <w:shd w:val="clear" w:color="auto" w:fill="D3EDFB"/>
            <w:noWrap/>
            <w:vAlign w:val="center"/>
          </w:tcPr>
          <w:p w:rsidR="00486F91" w:rsidRPr="00E85AEF" w:rsidRDefault="00486F91" w:rsidP="00A56527">
            <w:pPr>
              <w:widowControl/>
              <w:rPr>
                <w:kern w:val="0"/>
                <w:sz w:val="18"/>
                <w:szCs w:val="18"/>
              </w:rPr>
            </w:pPr>
            <w:r w:rsidRPr="00E85AEF">
              <w:rPr>
                <w:kern w:val="0"/>
                <w:sz w:val="18"/>
                <w:szCs w:val="18"/>
              </w:rPr>
              <w:t>城镇化率（</w:t>
            </w:r>
            <w:r w:rsidRPr="00E85AEF">
              <w:rPr>
                <w:kern w:val="0"/>
                <w:sz w:val="18"/>
                <w:szCs w:val="18"/>
              </w:rPr>
              <w:t>%</w:t>
            </w:r>
            <w:r w:rsidRPr="00E85AEF">
              <w:rPr>
                <w:kern w:val="0"/>
                <w:sz w:val="18"/>
                <w:szCs w:val="18"/>
              </w:rPr>
              <w:t>）</w:t>
            </w:r>
          </w:p>
        </w:tc>
        <w:tc>
          <w:tcPr>
            <w:tcW w:w="1147" w:type="pct"/>
            <w:gridSpan w:val="2"/>
            <w:shd w:val="clear" w:color="auto" w:fill="D3EDFB"/>
          </w:tcPr>
          <w:p w:rsidR="00486F91" w:rsidRPr="00E85AEF" w:rsidRDefault="00486F91" w:rsidP="00A56527">
            <w:pPr>
              <w:widowControl/>
              <w:ind w:firstLineChars="200" w:firstLine="360"/>
              <w:jc w:val="center"/>
              <w:rPr>
                <w:kern w:val="0"/>
                <w:sz w:val="18"/>
                <w:szCs w:val="18"/>
              </w:rPr>
            </w:pPr>
            <w:r w:rsidRPr="00E85AEF">
              <w:rPr>
                <w:kern w:val="0"/>
                <w:sz w:val="18"/>
                <w:szCs w:val="18"/>
              </w:rPr>
              <w:t>64.10</w:t>
            </w:r>
          </w:p>
        </w:tc>
        <w:tc>
          <w:tcPr>
            <w:tcW w:w="1147" w:type="pct"/>
            <w:gridSpan w:val="2"/>
            <w:shd w:val="clear" w:color="auto" w:fill="D3EDFB"/>
          </w:tcPr>
          <w:p w:rsidR="00486F91" w:rsidRPr="00E85AEF" w:rsidRDefault="00486F91" w:rsidP="00A56527">
            <w:pPr>
              <w:widowControl/>
              <w:ind w:firstLineChars="450" w:firstLine="810"/>
              <w:rPr>
                <w:kern w:val="0"/>
                <w:sz w:val="18"/>
                <w:szCs w:val="18"/>
              </w:rPr>
            </w:pPr>
            <w:r w:rsidRPr="00E85AEF">
              <w:rPr>
                <w:kern w:val="0"/>
                <w:sz w:val="18"/>
                <w:szCs w:val="18"/>
              </w:rPr>
              <w:t>65.20</w:t>
            </w:r>
          </w:p>
        </w:tc>
        <w:tc>
          <w:tcPr>
            <w:tcW w:w="1121" w:type="pct"/>
            <w:gridSpan w:val="2"/>
            <w:shd w:val="clear" w:color="auto" w:fill="D3EDFB"/>
          </w:tcPr>
          <w:p w:rsidR="00486F91" w:rsidRPr="00E85AEF" w:rsidRDefault="00486F91" w:rsidP="00A56527">
            <w:pPr>
              <w:widowControl/>
              <w:ind w:firstLineChars="450" w:firstLine="810"/>
              <w:rPr>
                <w:kern w:val="0"/>
                <w:sz w:val="18"/>
                <w:szCs w:val="18"/>
              </w:rPr>
            </w:pPr>
            <w:r>
              <w:rPr>
                <w:rFonts w:hint="eastAsia"/>
                <w:kern w:val="0"/>
                <w:sz w:val="18"/>
                <w:szCs w:val="18"/>
              </w:rPr>
              <w:t>66.5</w:t>
            </w:r>
            <w:r w:rsidRPr="00E85AEF">
              <w:rPr>
                <w:kern w:val="0"/>
                <w:sz w:val="18"/>
                <w:szCs w:val="18"/>
              </w:rPr>
              <w:t>0</w:t>
            </w:r>
          </w:p>
        </w:tc>
      </w:tr>
    </w:tbl>
    <w:p w:rsidR="00486F91" w:rsidRPr="00094226" w:rsidRDefault="00486F91" w:rsidP="0086308A">
      <w:pPr>
        <w:widowControl/>
        <w:tabs>
          <w:tab w:val="num" w:pos="426"/>
        </w:tabs>
        <w:spacing w:afterLines="50" w:after="156" w:line="240" w:lineRule="exact"/>
        <w:rPr>
          <w:rFonts w:eastAsia="黑体"/>
          <w:sz w:val="15"/>
          <w:szCs w:val="15"/>
        </w:rPr>
      </w:pPr>
      <w:r w:rsidRPr="00E85AEF">
        <w:rPr>
          <w:rFonts w:eastAsia="黑体"/>
          <w:sz w:val="15"/>
          <w:szCs w:val="15"/>
        </w:rPr>
        <w:t>资料来源：</w:t>
      </w:r>
      <w:r w:rsidRPr="00E85AEF">
        <w:rPr>
          <w:rFonts w:eastAsia="黑体"/>
          <w:sz w:val="15"/>
          <w:szCs w:val="15"/>
        </w:rPr>
        <w:t>201</w:t>
      </w:r>
      <w:r>
        <w:rPr>
          <w:rFonts w:eastAsia="黑体" w:hint="eastAsia"/>
          <w:sz w:val="15"/>
          <w:szCs w:val="15"/>
        </w:rPr>
        <w:t>4</w:t>
      </w:r>
      <w:r w:rsidRPr="00E85AEF">
        <w:rPr>
          <w:rFonts w:eastAsia="黑体"/>
          <w:sz w:val="15"/>
          <w:szCs w:val="15"/>
        </w:rPr>
        <w:t>~201</w:t>
      </w:r>
      <w:r w:rsidRPr="00E85AEF">
        <w:rPr>
          <w:rFonts w:eastAsia="黑体" w:hint="eastAsia"/>
          <w:sz w:val="15"/>
          <w:szCs w:val="15"/>
        </w:rPr>
        <w:t>5</w:t>
      </w:r>
      <w:r w:rsidRPr="00E85AEF">
        <w:rPr>
          <w:rFonts w:eastAsia="黑体"/>
          <w:sz w:val="15"/>
          <w:szCs w:val="15"/>
        </w:rPr>
        <w:t>年江苏统计年鉴；</w:t>
      </w:r>
      <w:r w:rsidRPr="00E85AEF">
        <w:rPr>
          <w:rFonts w:eastAsia="黑体"/>
          <w:sz w:val="15"/>
          <w:szCs w:val="15"/>
        </w:rPr>
        <w:t>201</w:t>
      </w:r>
      <w:r>
        <w:rPr>
          <w:rFonts w:eastAsia="黑体" w:hint="eastAsia"/>
          <w:sz w:val="15"/>
          <w:szCs w:val="15"/>
        </w:rPr>
        <w:t>5</w:t>
      </w:r>
      <w:r w:rsidRPr="00E85AEF">
        <w:rPr>
          <w:rFonts w:eastAsia="黑体"/>
          <w:sz w:val="15"/>
          <w:szCs w:val="15"/>
        </w:rPr>
        <w:t>年江苏省国民经济与社会发展统计公报；</w:t>
      </w:r>
      <w:r w:rsidRPr="00E85AEF">
        <w:rPr>
          <w:rFonts w:eastAsia="黑体"/>
          <w:sz w:val="15"/>
          <w:szCs w:val="15"/>
        </w:rPr>
        <w:t>201</w:t>
      </w:r>
      <w:r>
        <w:rPr>
          <w:rFonts w:eastAsia="黑体" w:hint="eastAsia"/>
          <w:sz w:val="15"/>
          <w:szCs w:val="15"/>
        </w:rPr>
        <w:t>5</w:t>
      </w:r>
      <w:r w:rsidRPr="00E85AEF">
        <w:rPr>
          <w:rFonts w:eastAsia="黑体"/>
          <w:sz w:val="15"/>
          <w:szCs w:val="15"/>
        </w:rPr>
        <w:t>年江苏统计月报，中债</w:t>
      </w:r>
      <w:r w:rsidRPr="00094226">
        <w:rPr>
          <w:rFonts w:eastAsia="黑体"/>
          <w:sz w:val="15"/>
          <w:szCs w:val="15"/>
        </w:rPr>
        <w:t>资信整理</w:t>
      </w:r>
    </w:p>
    <w:p w:rsidR="00486F91" w:rsidRPr="00094226" w:rsidRDefault="00486F91" w:rsidP="00486F91">
      <w:pPr>
        <w:spacing w:line="300" w:lineRule="auto"/>
        <w:ind w:firstLineChars="200" w:firstLine="422"/>
        <w:rPr>
          <w:highlight w:val="yellow"/>
        </w:rPr>
      </w:pPr>
      <w:r w:rsidRPr="00094226">
        <w:rPr>
          <w:b/>
          <w:bCs/>
        </w:rPr>
        <w:t>江苏省形成了传统产业和现代服务业并举的产业结构，</w:t>
      </w:r>
      <w:r>
        <w:rPr>
          <w:rFonts w:hint="eastAsia"/>
          <w:b/>
          <w:bCs/>
        </w:rPr>
        <w:t>区域创新能力较强</w:t>
      </w:r>
      <w:r w:rsidRPr="00094226">
        <w:rPr>
          <w:b/>
          <w:bCs/>
        </w:rPr>
        <w:t>。</w:t>
      </w:r>
      <w:r w:rsidRPr="00094226">
        <w:rPr>
          <w:bCs/>
        </w:rPr>
        <w:t>目前江苏省形成了传统</w:t>
      </w:r>
      <w:r w:rsidR="003A7AC2">
        <w:rPr>
          <w:rFonts w:hint="eastAsia"/>
          <w:bCs/>
        </w:rPr>
        <w:t>产业</w:t>
      </w:r>
      <w:r w:rsidRPr="00094226">
        <w:rPr>
          <w:bCs/>
        </w:rPr>
        <w:t>（第二产业中支柱产业主要为</w:t>
      </w:r>
      <w:r w:rsidRPr="00094226">
        <w:t>冶金、石化、机械、汽车、纺织及电子信息产业</w:t>
      </w:r>
      <w:r w:rsidRPr="00094226">
        <w:rPr>
          <w:vertAlign w:val="superscript"/>
        </w:rPr>
        <w:footnoteReference w:id="2"/>
      </w:r>
      <w:r w:rsidRPr="00094226">
        <w:t>等</w:t>
      </w:r>
      <w:r w:rsidRPr="00094226">
        <w:rPr>
          <w:bCs/>
        </w:rPr>
        <w:t>）和现代服务业并举的产业结构。一是先进制造业发展提速。</w:t>
      </w:r>
      <w:r w:rsidRPr="00871224">
        <w:rPr>
          <w:bCs/>
        </w:rPr>
        <w:t>201</w:t>
      </w:r>
      <w:r w:rsidRPr="002628A2">
        <w:rPr>
          <w:bCs/>
        </w:rPr>
        <w:t>5</w:t>
      </w:r>
      <w:r w:rsidRPr="00D519D7">
        <w:rPr>
          <w:rFonts w:hint="eastAsia"/>
          <w:bCs/>
        </w:rPr>
        <w:t>年全省</w:t>
      </w:r>
      <w:r w:rsidRPr="00094226">
        <w:rPr>
          <w:bCs/>
        </w:rPr>
        <w:t>通用设备、专用设备、汽车、仪器仪表等产值增速均在</w:t>
      </w:r>
      <w:r>
        <w:rPr>
          <w:rFonts w:hint="eastAsia"/>
          <w:bCs/>
        </w:rPr>
        <w:t>6</w:t>
      </w:r>
      <w:r w:rsidRPr="00094226">
        <w:rPr>
          <w:bCs/>
        </w:rPr>
        <w:t>%</w:t>
      </w:r>
      <w:r w:rsidRPr="00094226">
        <w:rPr>
          <w:bCs/>
        </w:rPr>
        <w:t>以上。二是现代服务业发展势头强劲。</w:t>
      </w:r>
      <w:r w:rsidRPr="00094226">
        <w:t>201</w:t>
      </w:r>
      <w:r>
        <w:rPr>
          <w:rFonts w:hint="eastAsia"/>
        </w:rPr>
        <w:t>5</w:t>
      </w:r>
      <w:r w:rsidRPr="00094226">
        <w:t>年</w:t>
      </w:r>
      <w:r w:rsidRPr="00871224">
        <w:rPr>
          <w:rFonts w:hint="eastAsia"/>
        </w:rPr>
        <w:t>服务业增加值占</w:t>
      </w:r>
      <w:r w:rsidRPr="00871224">
        <w:rPr>
          <w:rFonts w:hint="eastAsia"/>
        </w:rPr>
        <w:t>GDP</w:t>
      </w:r>
      <w:r w:rsidRPr="00871224">
        <w:rPr>
          <w:rFonts w:hint="eastAsia"/>
        </w:rPr>
        <w:t>比重提高</w:t>
      </w:r>
      <w:r w:rsidRPr="00871224">
        <w:rPr>
          <w:rFonts w:hint="eastAsia"/>
        </w:rPr>
        <w:t>1.6</w:t>
      </w:r>
      <w:r>
        <w:rPr>
          <w:rFonts w:hint="eastAsia"/>
        </w:rPr>
        <w:t>0</w:t>
      </w:r>
      <w:r w:rsidRPr="00871224">
        <w:rPr>
          <w:rFonts w:hint="eastAsia"/>
        </w:rPr>
        <w:t>个百分点</w:t>
      </w:r>
      <w:r w:rsidRPr="00094226">
        <w:t>。其中，金融业、营利性服务业等现代服务业占比不断提升</w:t>
      </w:r>
      <w:r w:rsidRPr="002628A2">
        <w:rPr>
          <w:rFonts w:hint="eastAsia"/>
        </w:rPr>
        <w:t>。</w:t>
      </w:r>
      <w:r w:rsidRPr="00094226">
        <w:t>金融产业持续较快发展，截至</w:t>
      </w:r>
      <w:r w:rsidRPr="00094226">
        <w:t>201</w:t>
      </w:r>
      <w:r>
        <w:rPr>
          <w:rFonts w:hint="eastAsia"/>
        </w:rPr>
        <w:t>5</w:t>
      </w:r>
      <w:r w:rsidRPr="00094226">
        <w:t>年末，江苏全省金融机构人民币存款余额</w:t>
      </w:r>
      <w:r>
        <w:rPr>
          <w:rFonts w:hint="eastAsia"/>
        </w:rPr>
        <w:t>10.79</w:t>
      </w:r>
      <w:proofErr w:type="gramStart"/>
      <w:r w:rsidRPr="00094226">
        <w:t>万亿</w:t>
      </w:r>
      <w:proofErr w:type="gramEnd"/>
      <w:r w:rsidRPr="00094226">
        <w:t>元，较上年末增长</w:t>
      </w:r>
      <w:r>
        <w:rPr>
          <w:rFonts w:hint="eastAsia"/>
        </w:rPr>
        <w:t>11.70</w:t>
      </w:r>
      <w:r w:rsidRPr="00094226">
        <w:t>%</w:t>
      </w:r>
      <w:r w:rsidRPr="00094226">
        <w:t>；同期人民币贷款余额</w:t>
      </w:r>
      <w:r>
        <w:rPr>
          <w:rFonts w:hint="eastAsia"/>
        </w:rPr>
        <w:t>7.89</w:t>
      </w:r>
      <w:proofErr w:type="gramStart"/>
      <w:r w:rsidRPr="00094226">
        <w:t>万亿</w:t>
      </w:r>
      <w:proofErr w:type="gramEnd"/>
      <w:r w:rsidRPr="00094226">
        <w:t>元，比上年末增长</w:t>
      </w:r>
      <w:r>
        <w:rPr>
          <w:rFonts w:hint="eastAsia"/>
        </w:rPr>
        <w:t>13.40</w:t>
      </w:r>
      <w:r w:rsidRPr="00094226">
        <w:t>%</w:t>
      </w:r>
      <w:r w:rsidRPr="00094226">
        <w:t>。</w:t>
      </w:r>
      <w:r>
        <w:rPr>
          <w:rFonts w:hint="eastAsia"/>
          <w:bCs/>
        </w:rPr>
        <w:t>三是</w:t>
      </w:r>
      <w:r w:rsidRPr="00094226">
        <w:t>江苏大力实施创新驱动战略，</w:t>
      </w:r>
      <w:r w:rsidRPr="00094226">
        <w:t>201</w:t>
      </w:r>
      <w:r>
        <w:rPr>
          <w:rFonts w:hint="eastAsia"/>
        </w:rPr>
        <w:t>5</w:t>
      </w:r>
      <w:r w:rsidRPr="00094226">
        <w:t>年实现高新技术产业产值</w:t>
      </w:r>
      <w:r>
        <w:rPr>
          <w:rFonts w:hint="eastAsia"/>
        </w:rPr>
        <w:t>6.10</w:t>
      </w:r>
      <w:proofErr w:type="gramStart"/>
      <w:r w:rsidRPr="00094226">
        <w:t>万亿</w:t>
      </w:r>
      <w:proofErr w:type="gramEnd"/>
      <w:r w:rsidRPr="00094226">
        <w:t>元，</w:t>
      </w:r>
      <w:proofErr w:type="gramStart"/>
      <w:r w:rsidRPr="00094226">
        <w:t>占规模</w:t>
      </w:r>
      <w:proofErr w:type="gramEnd"/>
      <w:r w:rsidRPr="00094226">
        <w:t>以上工业</w:t>
      </w:r>
      <w:r w:rsidR="003A7AC2">
        <w:rPr>
          <w:rFonts w:hint="eastAsia"/>
        </w:rPr>
        <w:t>总产值</w:t>
      </w:r>
      <w:r w:rsidRPr="00094226">
        <w:t>的比重达到</w:t>
      </w:r>
      <w:r>
        <w:rPr>
          <w:rFonts w:hint="eastAsia"/>
        </w:rPr>
        <w:t>40.10</w:t>
      </w:r>
      <w:r w:rsidRPr="00094226">
        <w:t>%</w:t>
      </w:r>
      <w:r w:rsidRPr="00094226">
        <w:t>，区域创新能力连续多年居全国前列。</w:t>
      </w:r>
    </w:p>
    <w:p w:rsidR="00486F91" w:rsidRDefault="00486F91" w:rsidP="00486F91">
      <w:pPr>
        <w:spacing w:line="300" w:lineRule="auto"/>
        <w:ind w:firstLineChars="200" w:firstLine="420"/>
        <w:rPr>
          <w:b/>
          <w:bCs/>
          <w:highlight w:val="yellow"/>
        </w:rPr>
      </w:pPr>
      <w:r w:rsidRPr="00094226">
        <w:t>展望未来，</w:t>
      </w:r>
      <w:r w:rsidRPr="00094226">
        <w:rPr>
          <w:bCs/>
        </w:rPr>
        <w:t>江苏省将贯彻转方式、调结构的政策，</w:t>
      </w:r>
      <w:r>
        <w:rPr>
          <w:rFonts w:hint="eastAsia"/>
          <w:bCs/>
        </w:rPr>
        <w:t>以提高发展质量和效益为中心，</w:t>
      </w:r>
      <w:r w:rsidRPr="00094226">
        <w:rPr>
          <w:bCs/>
        </w:rPr>
        <w:t>突出创新驱动，</w:t>
      </w:r>
      <w:r>
        <w:rPr>
          <w:rFonts w:hint="eastAsia"/>
          <w:bCs/>
        </w:rPr>
        <w:t>着力</w:t>
      </w:r>
      <w:r w:rsidRPr="00094226">
        <w:rPr>
          <w:bCs/>
        </w:rPr>
        <w:t>推进结构</w:t>
      </w:r>
      <w:r>
        <w:rPr>
          <w:rFonts w:hint="eastAsia"/>
          <w:bCs/>
        </w:rPr>
        <w:t>性改革</w:t>
      </w:r>
      <w:r w:rsidRPr="00094226">
        <w:rPr>
          <w:bCs/>
        </w:rPr>
        <w:t>，</w:t>
      </w:r>
      <w:r>
        <w:rPr>
          <w:rFonts w:hint="eastAsia"/>
          <w:bCs/>
        </w:rPr>
        <w:t>坚持稳中求进，</w:t>
      </w:r>
      <w:r w:rsidRPr="00094226">
        <w:rPr>
          <w:bCs/>
        </w:rPr>
        <w:t>经济增长的内生动力有望增强，加之主动对接国家战略，用好落地政策，整体看江苏省经济有望保持平稳、健康增长。</w:t>
      </w:r>
      <w:r w:rsidRPr="00094226">
        <w:rPr>
          <w:b/>
          <w:bCs/>
        </w:rPr>
        <w:t>首先，推进结构</w:t>
      </w:r>
      <w:r>
        <w:rPr>
          <w:rFonts w:hint="eastAsia"/>
          <w:b/>
          <w:bCs/>
        </w:rPr>
        <w:t>性改革</w:t>
      </w:r>
      <w:r w:rsidRPr="00094226">
        <w:rPr>
          <w:b/>
          <w:bCs/>
        </w:rPr>
        <w:t>。</w:t>
      </w:r>
      <w:r w:rsidRPr="002628A2">
        <w:rPr>
          <w:rFonts w:hint="eastAsia"/>
          <w:bCs/>
        </w:rPr>
        <w:t>江苏省将突出供给侧结构性改革，大力调整优化产业结构。</w:t>
      </w:r>
      <w:r w:rsidRPr="00094226">
        <w:t>战略性新兴产业方面，江苏省将</w:t>
      </w:r>
      <w:r>
        <w:rPr>
          <w:rFonts w:hint="eastAsia"/>
        </w:rPr>
        <w:t>推动</w:t>
      </w:r>
      <w:r w:rsidRPr="00094226">
        <w:t>战略性新兴产业</w:t>
      </w:r>
      <w:r w:rsidRPr="00094226">
        <w:rPr>
          <w:vertAlign w:val="superscript"/>
        </w:rPr>
        <w:footnoteReference w:id="3"/>
      </w:r>
      <w:r>
        <w:rPr>
          <w:rFonts w:hint="eastAsia"/>
        </w:rPr>
        <w:t>规模化发展</w:t>
      </w:r>
      <w:r w:rsidRPr="00094226">
        <w:t>，</w:t>
      </w:r>
      <w:r w:rsidRPr="006064B5">
        <w:rPr>
          <w:rFonts w:hint="eastAsia"/>
        </w:rPr>
        <w:t>加快培育大数据、工业机器人等新增长点，建设一批战略性新兴产业集群</w:t>
      </w:r>
      <w:r w:rsidRPr="00094226">
        <w:rPr>
          <w:szCs w:val="21"/>
        </w:rPr>
        <w:t>。现代服务业方面，</w:t>
      </w:r>
      <w:r w:rsidRPr="00094226">
        <w:rPr>
          <w:color w:val="000000"/>
          <w:szCs w:val="21"/>
        </w:rPr>
        <w:t>江苏省</w:t>
      </w:r>
      <w:r>
        <w:rPr>
          <w:rFonts w:hint="eastAsia"/>
          <w:color w:val="000000"/>
          <w:szCs w:val="21"/>
        </w:rPr>
        <w:t>将</w:t>
      </w:r>
      <w:r w:rsidRPr="006064B5">
        <w:rPr>
          <w:rFonts w:hint="eastAsia"/>
          <w:color w:val="000000"/>
          <w:szCs w:val="21"/>
        </w:rPr>
        <w:t>实施生产性服务业“双百工程”，促进现代金融、科技服务、信息技术、现代物流等重点产业加快发展，培育一批服务型制造示范企业，发展壮大平台经济、文化创意、工业设计等新兴业态，积极打造生产性服务业集聚区</w:t>
      </w:r>
      <w:r>
        <w:rPr>
          <w:rFonts w:hint="eastAsia"/>
        </w:rPr>
        <w:t>，“十三五”时期服务业增加值占比预计将达到</w:t>
      </w:r>
      <w:r>
        <w:rPr>
          <w:rFonts w:hint="eastAsia"/>
        </w:rPr>
        <w:t>53%</w:t>
      </w:r>
      <w:r>
        <w:rPr>
          <w:rFonts w:hint="eastAsia"/>
        </w:rPr>
        <w:t>左右</w:t>
      </w:r>
      <w:r w:rsidRPr="00094226">
        <w:t>。传统产业方面，江苏省将着力推进信息化与工业化深度融合，发展智能制造、绿色制造，全面提升传统产业层次水平</w:t>
      </w:r>
      <w:r w:rsidRPr="00094226">
        <w:rPr>
          <w:color w:val="000000"/>
          <w:szCs w:val="21"/>
        </w:rPr>
        <w:t>。</w:t>
      </w:r>
      <w:r w:rsidRPr="0061068E">
        <w:rPr>
          <w:b/>
          <w:color w:val="000000"/>
          <w:szCs w:val="21"/>
        </w:rPr>
        <w:t>其次，</w:t>
      </w:r>
      <w:r w:rsidRPr="00094226">
        <w:rPr>
          <w:b/>
          <w:bCs/>
        </w:rPr>
        <w:t>发掘培育新的增长点，内生动力有望增强。</w:t>
      </w:r>
      <w:r w:rsidRPr="00094226">
        <w:rPr>
          <w:bCs/>
        </w:rPr>
        <w:t>未来，江苏省将发掘培育新的增长点，</w:t>
      </w:r>
      <w:r>
        <w:rPr>
          <w:rFonts w:hint="eastAsia"/>
          <w:bCs/>
        </w:rPr>
        <w:t>进一步释放新需求，创造新供给，促进经济持续健康发展</w:t>
      </w:r>
      <w:r w:rsidRPr="00094226">
        <w:rPr>
          <w:bCs/>
        </w:rPr>
        <w:t>。消费方面，</w:t>
      </w:r>
      <w:r>
        <w:rPr>
          <w:rFonts w:hint="eastAsia"/>
          <w:bCs/>
        </w:rPr>
        <w:t>充分挖掘消费潜力，</w:t>
      </w:r>
      <w:r w:rsidRPr="006064B5">
        <w:rPr>
          <w:rFonts w:hint="eastAsia"/>
          <w:bCs/>
        </w:rPr>
        <w:t>优化消费环境，扩大消费信贷，积极培育消费新热点新模式。加强信息基础设施建设，扩大智能终端、智能服务等信息消费，推动线上线下</w:t>
      </w:r>
      <w:r w:rsidRPr="006064B5">
        <w:rPr>
          <w:rFonts w:hint="eastAsia"/>
          <w:bCs/>
        </w:rPr>
        <w:lastRenderedPageBreak/>
        <w:t>互动消费。鼓励民间资本、外商投资进入养老健康领域。</w:t>
      </w:r>
      <w:r w:rsidRPr="00094226">
        <w:rPr>
          <w:bCs/>
        </w:rPr>
        <w:t>固定资产投资方面，</w:t>
      </w:r>
      <w:r w:rsidRPr="00094226">
        <w:t>未来江苏省投资将侧重优化投资结构及提高投资质量，</w:t>
      </w:r>
      <w:r>
        <w:rPr>
          <w:rFonts w:hint="eastAsia"/>
        </w:rPr>
        <w:t>充分发挥财政投入的杠杆作用，</w:t>
      </w:r>
      <w:r w:rsidRPr="006064B5">
        <w:rPr>
          <w:rFonts w:hint="eastAsia"/>
        </w:rPr>
        <w:t>重点投向基础设施、民生改善、生态环境、区域协调等补短板领域</w:t>
      </w:r>
      <w:r>
        <w:rPr>
          <w:rFonts w:hint="eastAsia"/>
        </w:rPr>
        <w:t>。积极推进政府和社会资本合作模式，更好发挥民间投资的主力军作用</w:t>
      </w:r>
      <w:r w:rsidRPr="00094226">
        <w:t>。</w:t>
      </w:r>
      <w:r w:rsidRPr="001F5A21">
        <w:t>201</w:t>
      </w:r>
      <w:r w:rsidRPr="002628A2">
        <w:t>6</w:t>
      </w:r>
      <w:r w:rsidRPr="001F5A21">
        <w:rPr>
          <w:rFonts w:hint="eastAsia"/>
        </w:rPr>
        <w:t>年，江苏省计划安排重大项目</w:t>
      </w:r>
      <w:r w:rsidRPr="001F5A21">
        <w:t>220</w:t>
      </w:r>
      <w:r w:rsidRPr="001F5A21">
        <w:rPr>
          <w:rFonts w:hint="eastAsia"/>
        </w:rPr>
        <w:t>个，年度预计完成投资</w:t>
      </w:r>
      <w:r w:rsidRPr="002628A2">
        <w:t>5,0</w:t>
      </w:r>
      <w:r w:rsidRPr="001F5A21">
        <w:t>00</w:t>
      </w:r>
      <w:r w:rsidRPr="001F5A21">
        <w:rPr>
          <w:rFonts w:hint="eastAsia"/>
        </w:rPr>
        <w:t>亿元</w:t>
      </w:r>
      <w:r w:rsidRPr="009C78E2">
        <w:t>。</w:t>
      </w:r>
      <w:r w:rsidRPr="00963C01">
        <w:rPr>
          <w:rFonts w:hint="eastAsia"/>
          <w:b/>
          <w:bCs/>
        </w:rPr>
        <w:t>再次，深入落实</w:t>
      </w:r>
      <w:r>
        <w:rPr>
          <w:rFonts w:hint="eastAsia"/>
          <w:b/>
          <w:bCs/>
        </w:rPr>
        <w:t>“</w:t>
      </w:r>
      <w:r w:rsidRPr="00963C01">
        <w:rPr>
          <w:rFonts w:hint="eastAsia"/>
          <w:b/>
          <w:bCs/>
        </w:rPr>
        <w:t>长江经济带</w:t>
      </w:r>
      <w:r>
        <w:rPr>
          <w:rFonts w:hint="eastAsia"/>
          <w:b/>
          <w:bCs/>
        </w:rPr>
        <w:t>”</w:t>
      </w:r>
      <w:r w:rsidRPr="003D3ED6">
        <w:rPr>
          <w:rFonts w:hint="eastAsia"/>
          <w:b/>
          <w:bCs/>
        </w:rPr>
        <w:t>战略，</w:t>
      </w:r>
      <w:r>
        <w:rPr>
          <w:rFonts w:hint="eastAsia"/>
          <w:b/>
          <w:bCs/>
        </w:rPr>
        <w:t>把握“新型城镇化综合试点”等政策机遇，</w:t>
      </w:r>
      <w:r w:rsidRPr="003D3ED6">
        <w:rPr>
          <w:rFonts w:hint="eastAsia"/>
          <w:b/>
          <w:bCs/>
        </w:rPr>
        <w:t>主动对接</w:t>
      </w:r>
      <w:r>
        <w:rPr>
          <w:rFonts w:hint="eastAsia"/>
          <w:b/>
          <w:bCs/>
        </w:rPr>
        <w:t>“</w:t>
      </w:r>
      <w:r w:rsidRPr="003D3ED6">
        <w:rPr>
          <w:rFonts w:hint="eastAsia"/>
          <w:b/>
          <w:bCs/>
        </w:rPr>
        <w:t>一带一路</w:t>
      </w:r>
      <w:r>
        <w:rPr>
          <w:rFonts w:hint="eastAsia"/>
          <w:b/>
          <w:bCs/>
        </w:rPr>
        <w:t>”</w:t>
      </w:r>
      <w:r w:rsidRPr="00963C01">
        <w:rPr>
          <w:rFonts w:hint="eastAsia"/>
          <w:b/>
          <w:bCs/>
        </w:rPr>
        <w:t>战略，拓展对外发展空间。</w:t>
      </w:r>
      <w:r w:rsidRPr="004C5D8D">
        <w:rPr>
          <w:bCs/>
        </w:rPr>
        <w:t>近年来江苏省</w:t>
      </w:r>
      <w:r>
        <w:rPr>
          <w:rFonts w:hint="eastAsia"/>
          <w:bCs/>
        </w:rPr>
        <w:t>获得</w:t>
      </w:r>
      <w:r w:rsidRPr="004C5D8D">
        <w:rPr>
          <w:bCs/>
        </w:rPr>
        <w:t>了</w:t>
      </w:r>
      <w:r>
        <w:rPr>
          <w:rFonts w:hint="eastAsia"/>
          <w:bCs/>
        </w:rPr>
        <w:t>一些</w:t>
      </w:r>
      <w:r w:rsidRPr="004C5D8D">
        <w:rPr>
          <w:bCs/>
        </w:rPr>
        <w:t>国家政策</w:t>
      </w:r>
      <w:r>
        <w:rPr>
          <w:rFonts w:hint="eastAsia"/>
          <w:bCs/>
        </w:rPr>
        <w:t>支持</w:t>
      </w:r>
      <w:r w:rsidRPr="004C5D8D">
        <w:rPr>
          <w:bCs/>
        </w:rPr>
        <w:t>。</w:t>
      </w:r>
      <w:r w:rsidRPr="004C5D8D">
        <w:rPr>
          <w:rFonts w:hint="eastAsia"/>
          <w:bCs/>
        </w:rPr>
        <w:t>2013</w:t>
      </w:r>
      <w:r w:rsidRPr="004C5D8D">
        <w:rPr>
          <w:rFonts w:hint="eastAsia"/>
          <w:bCs/>
        </w:rPr>
        <w:t>年</w:t>
      </w:r>
      <w:r w:rsidRPr="004C5D8D">
        <w:rPr>
          <w:rFonts w:hint="eastAsia"/>
          <w:bCs/>
        </w:rPr>
        <w:t>4</w:t>
      </w:r>
      <w:r w:rsidRPr="004C5D8D">
        <w:rPr>
          <w:rFonts w:hint="eastAsia"/>
          <w:bCs/>
        </w:rPr>
        <w:t>月，</w:t>
      </w:r>
      <w:proofErr w:type="gramStart"/>
      <w:r w:rsidRPr="004C5D8D">
        <w:rPr>
          <w:rFonts w:hint="eastAsia"/>
          <w:bCs/>
        </w:rPr>
        <w:t>国家发改委</w:t>
      </w:r>
      <w:proofErr w:type="gramEnd"/>
      <w:r w:rsidRPr="004C5D8D">
        <w:rPr>
          <w:rFonts w:hint="eastAsia"/>
          <w:bCs/>
        </w:rPr>
        <w:t>印发</w:t>
      </w:r>
      <w:r w:rsidRPr="004C5D8D">
        <w:rPr>
          <w:rFonts w:hint="eastAsia"/>
          <w:color w:val="000000"/>
        </w:rPr>
        <w:t>《苏南现代化建设示范区规划》；</w:t>
      </w:r>
      <w:r w:rsidRPr="004C5D8D">
        <w:rPr>
          <w:rFonts w:hint="eastAsia"/>
          <w:color w:val="000000"/>
        </w:rPr>
        <w:t>2014</w:t>
      </w:r>
      <w:r w:rsidRPr="004C5D8D">
        <w:rPr>
          <w:rFonts w:hint="eastAsia"/>
          <w:color w:val="000000"/>
        </w:rPr>
        <w:t>年</w:t>
      </w:r>
      <w:r w:rsidRPr="004C5D8D">
        <w:rPr>
          <w:rFonts w:hint="eastAsia"/>
          <w:color w:val="000000"/>
        </w:rPr>
        <w:t>4</w:t>
      </w:r>
      <w:r w:rsidRPr="004C5D8D">
        <w:rPr>
          <w:rFonts w:hint="eastAsia"/>
          <w:color w:val="000000"/>
        </w:rPr>
        <w:t>月，长江经济</w:t>
      </w:r>
      <w:proofErr w:type="gramStart"/>
      <w:r w:rsidRPr="004C5D8D">
        <w:rPr>
          <w:rFonts w:hint="eastAsia"/>
          <w:color w:val="000000"/>
        </w:rPr>
        <w:t>带上升</w:t>
      </w:r>
      <w:proofErr w:type="gramEnd"/>
      <w:r w:rsidRPr="004C5D8D">
        <w:rPr>
          <w:rFonts w:hint="eastAsia"/>
          <w:color w:val="000000"/>
        </w:rPr>
        <w:t>为国家战略</w:t>
      </w:r>
      <w:r w:rsidRPr="004C5D8D">
        <w:rPr>
          <w:color w:val="000000"/>
          <w:vertAlign w:val="superscript"/>
        </w:rPr>
        <w:footnoteReference w:id="4"/>
      </w:r>
      <w:r>
        <w:rPr>
          <w:rFonts w:hint="eastAsia"/>
          <w:color w:val="000000"/>
        </w:rPr>
        <w:t>；</w:t>
      </w:r>
      <w:r>
        <w:rPr>
          <w:rFonts w:hint="eastAsia"/>
          <w:color w:val="000000"/>
        </w:rPr>
        <w:t>2014</w:t>
      </w:r>
      <w:r>
        <w:rPr>
          <w:rFonts w:hint="eastAsia"/>
          <w:color w:val="000000"/>
        </w:rPr>
        <w:t>年</w:t>
      </w:r>
      <w:r>
        <w:rPr>
          <w:rFonts w:hint="eastAsia"/>
          <w:color w:val="000000"/>
        </w:rPr>
        <w:t>7</w:t>
      </w:r>
      <w:r>
        <w:rPr>
          <w:rFonts w:hint="eastAsia"/>
          <w:color w:val="000000"/>
        </w:rPr>
        <w:t>月，江苏省镇江市及淮河流域重点地区被国家纳入开展生态文明先行示范区建设（第一批）（</w:t>
      </w:r>
      <w:proofErr w:type="gramStart"/>
      <w:r>
        <w:rPr>
          <w:rFonts w:hint="eastAsia"/>
          <w:color w:val="000000"/>
        </w:rPr>
        <w:t>发改环</w:t>
      </w:r>
      <w:proofErr w:type="gramEnd"/>
      <w:r>
        <w:rPr>
          <w:rFonts w:hint="eastAsia"/>
          <w:color w:val="000000"/>
        </w:rPr>
        <w:t>资</w:t>
      </w:r>
      <w:r w:rsidRPr="00B764BC">
        <w:rPr>
          <w:rFonts w:hint="eastAsia"/>
          <w:color w:val="000000"/>
          <w:szCs w:val="21"/>
        </w:rPr>
        <w:t>〔</w:t>
      </w:r>
      <w:r>
        <w:rPr>
          <w:rFonts w:hint="eastAsia"/>
          <w:color w:val="333333"/>
          <w:shd w:val="clear" w:color="auto" w:fill="FFFFFF"/>
        </w:rPr>
        <w:t>2014</w:t>
      </w:r>
      <w:r w:rsidRPr="00B764BC">
        <w:rPr>
          <w:rFonts w:hint="eastAsia"/>
          <w:color w:val="000000"/>
          <w:szCs w:val="21"/>
        </w:rPr>
        <w:t>〕</w:t>
      </w:r>
      <w:r>
        <w:rPr>
          <w:rFonts w:hint="eastAsia"/>
          <w:color w:val="000000"/>
        </w:rPr>
        <w:t>1667</w:t>
      </w:r>
      <w:r>
        <w:rPr>
          <w:rFonts w:hint="eastAsia"/>
          <w:color w:val="000000"/>
        </w:rPr>
        <w:t>号）；</w:t>
      </w:r>
      <w:r>
        <w:rPr>
          <w:rFonts w:hint="eastAsia"/>
          <w:color w:val="000000"/>
        </w:rPr>
        <w:t>2014</w:t>
      </w:r>
      <w:r>
        <w:rPr>
          <w:rFonts w:hint="eastAsia"/>
          <w:color w:val="000000"/>
        </w:rPr>
        <w:t>年</w:t>
      </w:r>
      <w:r>
        <w:rPr>
          <w:rFonts w:hint="eastAsia"/>
          <w:color w:val="000000"/>
        </w:rPr>
        <w:t>9</w:t>
      </w:r>
      <w:r>
        <w:rPr>
          <w:rFonts w:hint="eastAsia"/>
          <w:color w:val="000000"/>
        </w:rPr>
        <w:t>月，</w:t>
      </w:r>
      <w:proofErr w:type="gramStart"/>
      <w:r>
        <w:rPr>
          <w:rFonts w:hint="eastAsia"/>
          <w:color w:val="000000"/>
        </w:rPr>
        <w:t>国务院发改委</w:t>
      </w:r>
      <w:proofErr w:type="gramEnd"/>
      <w:r>
        <w:rPr>
          <w:rFonts w:hint="eastAsia"/>
          <w:color w:val="000000"/>
        </w:rPr>
        <w:t>出台</w:t>
      </w:r>
      <w:r w:rsidRPr="00A22E41">
        <w:rPr>
          <w:rFonts w:hint="eastAsia"/>
          <w:color w:val="000000"/>
        </w:rPr>
        <w:t>《</w:t>
      </w:r>
      <w:r w:rsidRPr="005C28CA">
        <w:rPr>
          <w:rFonts w:hint="eastAsia"/>
          <w:bCs/>
          <w:color w:val="000000"/>
        </w:rPr>
        <w:t>国务院关于依托黄金水道推动长江经济带发展的指导意见</w:t>
      </w:r>
      <w:r w:rsidRPr="00A22E41">
        <w:rPr>
          <w:rFonts w:hint="eastAsia"/>
          <w:color w:val="000000"/>
        </w:rPr>
        <w:t>》</w:t>
      </w:r>
      <w:r>
        <w:rPr>
          <w:rFonts w:hint="eastAsia"/>
          <w:color w:val="000000"/>
        </w:rPr>
        <w:t>（国</w:t>
      </w:r>
      <w:r>
        <w:rPr>
          <w:rFonts w:hint="eastAsia"/>
          <w:color w:val="333333"/>
          <w:shd w:val="clear" w:color="auto" w:fill="FFFFFF"/>
        </w:rPr>
        <w:t>发</w:t>
      </w:r>
      <w:r w:rsidRPr="00B764BC">
        <w:rPr>
          <w:rFonts w:hint="eastAsia"/>
          <w:color w:val="000000"/>
          <w:szCs w:val="21"/>
        </w:rPr>
        <w:t>〔</w:t>
      </w:r>
      <w:r>
        <w:rPr>
          <w:rFonts w:hint="eastAsia"/>
          <w:color w:val="333333"/>
          <w:shd w:val="clear" w:color="auto" w:fill="FFFFFF"/>
        </w:rPr>
        <w:t>2014</w:t>
      </w:r>
      <w:r w:rsidRPr="00B764BC">
        <w:rPr>
          <w:rFonts w:hint="eastAsia"/>
          <w:color w:val="000000"/>
          <w:szCs w:val="21"/>
        </w:rPr>
        <w:t>〕</w:t>
      </w:r>
      <w:r>
        <w:rPr>
          <w:rFonts w:hint="eastAsia"/>
          <w:color w:val="333333"/>
          <w:shd w:val="clear" w:color="auto" w:fill="FFFFFF"/>
        </w:rPr>
        <w:t>39</w:t>
      </w:r>
      <w:r>
        <w:rPr>
          <w:rFonts w:hint="eastAsia"/>
          <w:color w:val="333333"/>
          <w:shd w:val="clear" w:color="auto" w:fill="FFFFFF"/>
        </w:rPr>
        <w:t>号</w:t>
      </w:r>
      <w:r>
        <w:rPr>
          <w:rFonts w:hint="eastAsia"/>
          <w:color w:val="000000"/>
        </w:rPr>
        <w:t>）；</w:t>
      </w:r>
      <w:r>
        <w:rPr>
          <w:rFonts w:hint="eastAsia"/>
          <w:color w:val="000000"/>
        </w:rPr>
        <w:t>2015</w:t>
      </w:r>
      <w:r>
        <w:rPr>
          <w:rFonts w:hint="eastAsia"/>
          <w:color w:val="000000"/>
        </w:rPr>
        <w:t>年</w:t>
      </w:r>
      <w:r>
        <w:rPr>
          <w:rFonts w:hint="eastAsia"/>
          <w:color w:val="000000"/>
        </w:rPr>
        <w:t>2</w:t>
      </w:r>
      <w:r>
        <w:rPr>
          <w:rFonts w:hint="eastAsia"/>
          <w:color w:val="000000"/>
        </w:rPr>
        <w:t>月，江苏省被列入</w:t>
      </w:r>
      <w:r w:rsidRPr="00552897">
        <w:rPr>
          <w:rFonts w:hint="eastAsia"/>
          <w:color w:val="000000"/>
        </w:rPr>
        <w:t>国家新型城镇</w:t>
      </w:r>
      <w:proofErr w:type="gramStart"/>
      <w:r w:rsidRPr="00552897">
        <w:rPr>
          <w:rFonts w:hint="eastAsia"/>
          <w:color w:val="000000"/>
        </w:rPr>
        <w:t>化综合</w:t>
      </w:r>
      <w:proofErr w:type="gramEnd"/>
      <w:r w:rsidRPr="00552897">
        <w:rPr>
          <w:rFonts w:hint="eastAsia"/>
          <w:color w:val="000000"/>
        </w:rPr>
        <w:t>试点地区</w:t>
      </w:r>
      <w:r>
        <w:rPr>
          <w:rFonts w:hint="eastAsia"/>
          <w:color w:val="000000"/>
        </w:rPr>
        <w:t>（</w:t>
      </w:r>
      <w:proofErr w:type="gramStart"/>
      <w:r>
        <w:rPr>
          <w:rFonts w:hint="eastAsia"/>
          <w:color w:val="333333"/>
          <w:shd w:val="clear" w:color="auto" w:fill="FFFFFF"/>
        </w:rPr>
        <w:t>发改规划</w:t>
      </w:r>
      <w:proofErr w:type="gramEnd"/>
      <w:r w:rsidRPr="00B764BC">
        <w:rPr>
          <w:rFonts w:hint="eastAsia"/>
          <w:color w:val="000000"/>
          <w:szCs w:val="21"/>
        </w:rPr>
        <w:t>〔</w:t>
      </w:r>
      <w:r>
        <w:rPr>
          <w:rFonts w:hint="eastAsia"/>
          <w:color w:val="333333"/>
          <w:shd w:val="clear" w:color="auto" w:fill="FFFFFF"/>
        </w:rPr>
        <w:t>2014</w:t>
      </w:r>
      <w:r w:rsidRPr="00B764BC">
        <w:rPr>
          <w:rFonts w:hint="eastAsia"/>
          <w:color w:val="000000"/>
          <w:szCs w:val="21"/>
        </w:rPr>
        <w:t>〕</w:t>
      </w:r>
      <w:r>
        <w:rPr>
          <w:rFonts w:hint="eastAsia"/>
          <w:color w:val="333333"/>
          <w:shd w:val="clear" w:color="auto" w:fill="FFFFFF"/>
        </w:rPr>
        <w:t>2960</w:t>
      </w:r>
      <w:r>
        <w:rPr>
          <w:rFonts w:hint="eastAsia"/>
          <w:color w:val="333333"/>
          <w:shd w:val="clear" w:color="auto" w:fill="FFFFFF"/>
        </w:rPr>
        <w:t>号</w:t>
      </w:r>
      <w:r>
        <w:rPr>
          <w:rFonts w:hint="eastAsia"/>
          <w:color w:val="000000"/>
        </w:rPr>
        <w:t>）；</w:t>
      </w:r>
      <w:r>
        <w:rPr>
          <w:rFonts w:hint="eastAsia"/>
          <w:color w:val="000000"/>
        </w:rPr>
        <w:t>2015</w:t>
      </w:r>
      <w:r>
        <w:rPr>
          <w:rFonts w:hint="eastAsia"/>
          <w:color w:val="000000"/>
        </w:rPr>
        <w:t>年</w:t>
      </w:r>
      <w:r>
        <w:rPr>
          <w:rFonts w:hint="eastAsia"/>
          <w:color w:val="000000"/>
        </w:rPr>
        <w:t>7</w:t>
      </w:r>
      <w:r>
        <w:rPr>
          <w:rFonts w:hint="eastAsia"/>
          <w:color w:val="000000"/>
        </w:rPr>
        <w:t>月，江苏省</w:t>
      </w:r>
      <w:r>
        <w:rPr>
          <w:rFonts w:hint="eastAsia"/>
          <w:color w:val="000000"/>
          <w:szCs w:val="21"/>
        </w:rPr>
        <w:t>贯彻落实《国务院关于依托黄金水道推动长江经济带发展的指导意见》的实施意见出台，</w:t>
      </w:r>
      <w:r w:rsidRPr="005C28CA">
        <w:rPr>
          <w:color w:val="000000"/>
          <w:szCs w:val="21"/>
        </w:rPr>
        <w:t>为长江经济带建设提供坚强支撑</w:t>
      </w:r>
      <w:r>
        <w:rPr>
          <w:rFonts w:hint="eastAsia"/>
          <w:color w:val="000000"/>
        </w:rPr>
        <w:t>。此外，江苏省还将主动对接</w:t>
      </w:r>
      <w:r w:rsidRPr="003D3ED6">
        <w:rPr>
          <w:rFonts w:hint="eastAsia"/>
          <w:color w:val="000000"/>
        </w:rPr>
        <w:t>“一带一路”战略</w:t>
      </w:r>
      <w:r>
        <w:rPr>
          <w:rFonts w:hint="eastAsia"/>
          <w:color w:val="000000"/>
        </w:rPr>
        <w:t>，</w:t>
      </w:r>
      <w:r w:rsidRPr="00CC39AA">
        <w:rPr>
          <w:rFonts w:hint="eastAsia"/>
          <w:color w:val="000000"/>
        </w:rPr>
        <w:t>强化连云港、徐州新亚欧大陆桥经济走廊重要战略节点支撑作用</w:t>
      </w:r>
      <w:r>
        <w:rPr>
          <w:rFonts w:hint="eastAsia"/>
          <w:color w:val="000000"/>
        </w:rPr>
        <w:t>，</w:t>
      </w:r>
      <w:r w:rsidRPr="003D3ED6">
        <w:rPr>
          <w:rFonts w:hint="eastAsia"/>
          <w:color w:val="000000"/>
        </w:rPr>
        <w:t>加快“一带一路”交汇点、连云港东中西区域合作示范区及中哈物流中转基地建设，打造战略出海口</w:t>
      </w:r>
      <w:r>
        <w:rPr>
          <w:rFonts w:hint="eastAsia"/>
          <w:color w:val="000000"/>
        </w:rPr>
        <w:t>。整体看，</w:t>
      </w:r>
      <w:r w:rsidRPr="004C5D8D">
        <w:rPr>
          <w:bCs/>
        </w:rPr>
        <w:t>受益</w:t>
      </w:r>
      <w:r w:rsidRPr="004C5D8D">
        <w:rPr>
          <w:rFonts w:hint="eastAsia"/>
          <w:bCs/>
        </w:rPr>
        <w:t>于上述规划</w:t>
      </w:r>
      <w:r w:rsidRPr="004C5D8D">
        <w:rPr>
          <w:bCs/>
        </w:rPr>
        <w:t>，江苏省在产业布局和资源配置方面将</w:t>
      </w:r>
      <w:r>
        <w:rPr>
          <w:rFonts w:hint="eastAsia"/>
          <w:bCs/>
        </w:rPr>
        <w:t>不断完善</w:t>
      </w:r>
      <w:r w:rsidRPr="004C5D8D">
        <w:rPr>
          <w:bCs/>
        </w:rPr>
        <w:t>，进而带动产业结构加速升级</w:t>
      </w:r>
      <w:r w:rsidRPr="004C5D8D">
        <w:rPr>
          <w:rFonts w:hint="eastAsia"/>
          <w:bCs/>
        </w:rPr>
        <w:t>、提升消费内生动力，最终</w:t>
      </w:r>
      <w:r w:rsidRPr="004C5D8D">
        <w:rPr>
          <w:bCs/>
        </w:rPr>
        <w:t>促进经济实现平稳增长。</w:t>
      </w:r>
    </w:p>
    <w:p w:rsidR="00486F91" w:rsidRPr="00094226" w:rsidRDefault="00486F91" w:rsidP="00486F91">
      <w:pPr>
        <w:adjustRightInd w:val="0"/>
        <w:snapToGrid w:val="0"/>
        <w:spacing w:beforeLines="100" w:before="312" w:afterLines="50" w:after="156"/>
        <w:outlineLvl w:val="0"/>
        <w:rPr>
          <w:rFonts w:eastAsia="黑体"/>
          <w:sz w:val="24"/>
          <w:lang w:val="x-none" w:eastAsia="x-none"/>
        </w:rPr>
      </w:pPr>
      <w:r w:rsidRPr="00094226">
        <w:rPr>
          <w:rFonts w:eastAsia="黑体"/>
          <w:b/>
          <w:sz w:val="24"/>
          <w:lang w:val="x-none"/>
        </w:rPr>
        <w:t>三、地区</w:t>
      </w:r>
      <w:proofErr w:type="spellStart"/>
      <w:r w:rsidRPr="00094226">
        <w:rPr>
          <w:rFonts w:eastAsia="黑体"/>
          <w:b/>
          <w:sz w:val="24"/>
          <w:lang w:val="x-none" w:eastAsia="x-none"/>
        </w:rPr>
        <w:t>财政实力分析</w:t>
      </w:r>
      <w:proofErr w:type="spellEnd"/>
    </w:p>
    <w:p w:rsidR="00486F91" w:rsidRPr="00094226" w:rsidRDefault="00486F91" w:rsidP="00486F91">
      <w:pPr>
        <w:spacing w:beforeLines="50" w:before="156" w:afterLines="50" w:after="156"/>
        <w:rPr>
          <w:rFonts w:eastAsia="黑体"/>
          <w:b/>
          <w:szCs w:val="21"/>
        </w:rPr>
      </w:pPr>
      <w:r w:rsidRPr="00094226">
        <w:rPr>
          <w:rFonts w:eastAsia="黑体"/>
          <w:b/>
          <w:szCs w:val="21"/>
        </w:rPr>
        <w:t>近年来受益于经济平稳发展，江苏省财政收入保持</w:t>
      </w:r>
      <w:r>
        <w:rPr>
          <w:rFonts w:eastAsia="黑体" w:hint="eastAsia"/>
          <w:b/>
          <w:szCs w:val="21"/>
        </w:rPr>
        <w:t>增长</w:t>
      </w:r>
      <w:r w:rsidRPr="00094226">
        <w:rPr>
          <w:rFonts w:eastAsia="黑体"/>
          <w:b/>
          <w:szCs w:val="21"/>
        </w:rPr>
        <w:t>，收入质量持续提升，综合财力雄厚；</w:t>
      </w:r>
      <w:r>
        <w:rPr>
          <w:rFonts w:eastAsia="黑体" w:hint="eastAsia"/>
          <w:b/>
          <w:szCs w:val="21"/>
        </w:rPr>
        <w:t>近年来不断加强</w:t>
      </w:r>
      <w:r w:rsidRPr="00094226">
        <w:rPr>
          <w:rFonts w:eastAsia="黑体"/>
          <w:b/>
          <w:szCs w:val="21"/>
        </w:rPr>
        <w:t>和改善民生支出，财政收支保持平衡</w:t>
      </w:r>
    </w:p>
    <w:p w:rsidR="00486F91" w:rsidRDefault="00486F91" w:rsidP="00486F91">
      <w:pPr>
        <w:spacing w:line="300" w:lineRule="auto"/>
        <w:ind w:firstLineChars="202" w:firstLine="426"/>
        <w:rPr>
          <w:szCs w:val="21"/>
        </w:rPr>
      </w:pPr>
      <w:r w:rsidRPr="00094226">
        <w:rPr>
          <w:b/>
        </w:rPr>
        <w:t>综合财力规模较大</w:t>
      </w:r>
      <w:r w:rsidRPr="00036918">
        <w:rPr>
          <w:b/>
        </w:rPr>
        <w:t>，</w:t>
      </w:r>
      <w:r w:rsidRPr="00131C3E">
        <w:rPr>
          <w:b/>
        </w:rPr>
        <w:t>财力结构较为合理。</w:t>
      </w:r>
      <w:r w:rsidRPr="00131C3E">
        <w:t>201</w:t>
      </w:r>
      <w:r>
        <w:rPr>
          <w:rFonts w:hint="eastAsia"/>
        </w:rPr>
        <w:t>3</w:t>
      </w:r>
      <w:r w:rsidRPr="00094226">
        <w:t>~</w:t>
      </w:r>
      <w:r w:rsidR="006B0350" w:rsidRPr="00094226">
        <w:t>201</w:t>
      </w:r>
      <w:r w:rsidR="006B0350">
        <w:rPr>
          <w:rFonts w:hint="eastAsia"/>
        </w:rPr>
        <w:t>5</w:t>
      </w:r>
      <w:r w:rsidRPr="00094226">
        <w:t>年，江苏省全省综合财力保持较快增长，三年分别为</w:t>
      </w:r>
      <w:r w:rsidRPr="00094226">
        <w:t>13,608.83</w:t>
      </w:r>
      <w:r w:rsidRPr="00094226">
        <w:t>亿元、</w:t>
      </w:r>
      <w:r w:rsidRPr="002628A2">
        <w:t>15,126.56</w:t>
      </w:r>
      <w:r w:rsidRPr="00254472">
        <w:t>亿元和</w:t>
      </w:r>
      <w:r w:rsidRPr="002628A2">
        <w:t>15,427.27</w:t>
      </w:r>
      <w:r w:rsidRPr="00254472">
        <w:t>亿</w:t>
      </w:r>
      <w:r w:rsidRPr="00094226">
        <w:t>元，处于全国前列。其中，一般公共预算财力和政府性基金预算财力占比分别约为</w:t>
      </w:r>
      <w:r w:rsidRPr="002628A2">
        <w:t>66</w:t>
      </w:r>
      <w:r w:rsidRPr="00254472">
        <w:t>%</w:t>
      </w:r>
      <w:r w:rsidRPr="00254472">
        <w:t>和</w:t>
      </w:r>
      <w:r w:rsidRPr="002628A2">
        <w:t>34</w:t>
      </w:r>
      <w:r w:rsidRPr="00254472">
        <w:t>%</w:t>
      </w:r>
      <w:r w:rsidRPr="00094226">
        <w:t>。受益于产业多元化程度高，纳税主体丰富，江苏省一般公共预算收入中税收收入占比高，稳定性强，</w:t>
      </w:r>
      <w:r w:rsidRPr="00094226">
        <w:t>201</w:t>
      </w:r>
      <w:r>
        <w:rPr>
          <w:rFonts w:hint="eastAsia"/>
        </w:rPr>
        <w:t>5</w:t>
      </w:r>
      <w:r w:rsidRPr="00094226">
        <w:t>年江苏省全省实现一般公共预算收入</w:t>
      </w:r>
      <w:r w:rsidRPr="001860C5">
        <w:t>8</w:t>
      </w:r>
      <w:r>
        <w:rPr>
          <w:rFonts w:hint="eastAsia"/>
        </w:rPr>
        <w:t>,</w:t>
      </w:r>
      <w:r w:rsidRPr="001860C5">
        <w:t>028.59</w:t>
      </w:r>
      <w:r w:rsidRPr="00094226">
        <w:t>亿元，其中税收收入占比为</w:t>
      </w:r>
      <w:r w:rsidRPr="00094226">
        <w:t>8</w:t>
      </w:r>
      <w:r>
        <w:rPr>
          <w:rFonts w:hint="eastAsia"/>
        </w:rPr>
        <w:t>2.3</w:t>
      </w:r>
      <w:r w:rsidR="005E7F25">
        <w:rPr>
          <w:rFonts w:hint="eastAsia"/>
        </w:rPr>
        <w:t>3</w:t>
      </w:r>
      <w:r w:rsidRPr="00094226">
        <w:t>%</w:t>
      </w:r>
      <w:r w:rsidR="00713D7C">
        <w:rPr>
          <w:rFonts w:hint="eastAsia"/>
        </w:rPr>
        <w:t>，</w:t>
      </w:r>
      <w:r w:rsidR="00713D7C">
        <w:rPr>
          <w:rFonts w:hint="eastAsia"/>
        </w:rPr>
        <w:t>2016</w:t>
      </w:r>
      <w:r w:rsidR="00713D7C">
        <w:rPr>
          <w:rFonts w:hint="eastAsia"/>
        </w:rPr>
        <w:t>年</w:t>
      </w:r>
      <w:r w:rsidR="00713D7C" w:rsidRPr="00094226">
        <w:t>全省一般公共预算收入</w:t>
      </w:r>
      <w:r w:rsidR="00713D7C">
        <w:rPr>
          <w:rFonts w:hint="eastAsia"/>
        </w:rPr>
        <w:t>预算数为</w:t>
      </w:r>
      <w:r w:rsidR="00713D7C" w:rsidRPr="00DC4CAD">
        <w:t>8,670.00</w:t>
      </w:r>
      <w:r w:rsidR="00713D7C">
        <w:rPr>
          <w:rFonts w:hint="eastAsia"/>
        </w:rPr>
        <w:t>亿元</w:t>
      </w:r>
      <w:r w:rsidRPr="00094226">
        <w:t>；江苏省房地产市场较为发达，以</w:t>
      </w:r>
      <w:r>
        <w:rPr>
          <w:rFonts w:hint="eastAsia"/>
        </w:rPr>
        <w:t>国有土地使用权</w:t>
      </w:r>
      <w:r w:rsidRPr="00094226">
        <w:t>出让收入为主的政府性基金</w:t>
      </w:r>
      <w:r>
        <w:rPr>
          <w:rFonts w:hint="eastAsia"/>
        </w:rPr>
        <w:t>收入</w:t>
      </w:r>
      <w:r w:rsidRPr="00094226">
        <w:t>规模较大，</w:t>
      </w:r>
      <w:r w:rsidRPr="00094226">
        <w:t>20</w:t>
      </w:r>
      <w:r w:rsidRPr="00AA468D">
        <w:t>1</w:t>
      </w:r>
      <w:r>
        <w:rPr>
          <w:rFonts w:hint="eastAsia"/>
        </w:rPr>
        <w:t>5</w:t>
      </w:r>
      <w:r w:rsidRPr="00AA468D">
        <w:t>年达</w:t>
      </w:r>
      <w:r w:rsidRPr="001860C5">
        <w:t>4</w:t>
      </w:r>
      <w:r>
        <w:rPr>
          <w:rFonts w:hint="eastAsia"/>
        </w:rPr>
        <w:t>,</w:t>
      </w:r>
      <w:r w:rsidRPr="001860C5">
        <w:t>618.08</w:t>
      </w:r>
      <w:r w:rsidRPr="00AA468D">
        <w:t>亿元</w:t>
      </w:r>
      <w:r w:rsidR="00713D7C">
        <w:rPr>
          <w:rFonts w:hint="eastAsia"/>
        </w:rPr>
        <w:t>，</w:t>
      </w:r>
      <w:r w:rsidR="00713D7C">
        <w:rPr>
          <w:rFonts w:hint="eastAsia"/>
        </w:rPr>
        <w:t>2016</w:t>
      </w:r>
      <w:r w:rsidR="00713D7C">
        <w:rPr>
          <w:rFonts w:hint="eastAsia"/>
        </w:rPr>
        <w:t>年</w:t>
      </w:r>
      <w:r w:rsidR="00713D7C" w:rsidRPr="00094226">
        <w:t>政府性基金</w:t>
      </w:r>
      <w:r w:rsidR="00713D7C">
        <w:rPr>
          <w:rFonts w:hint="eastAsia"/>
        </w:rPr>
        <w:t>收入预算数为</w:t>
      </w:r>
      <w:r w:rsidR="00713D7C" w:rsidRPr="00DC4CAD">
        <w:t>4,540.31</w:t>
      </w:r>
      <w:r w:rsidR="00713D7C">
        <w:rPr>
          <w:rFonts w:hint="eastAsia"/>
        </w:rPr>
        <w:t>亿元</w:t>
      </w:r>
      <w:r w:rsidRPr="00AA468D">
        <w:t>。</w:t>
      </w:r>
      <w:r w:rsidRPr="003D3ED6">
        <w:rPr>
          <w:rFonts w:hint="eastAsia"/>
        </w:rPr>
        <w:t>江苏省本级政府调配财力能力强，</w:t>
      </w:r>
      <w:r w:rsidRPr="003D3ED6">
        <w:t>201</w:t>
      </w:r>
      <w:r>
        <w:rPr>
          <w:rFonts w:hint="eastAsia"/>
        </w:rPr>
        <w:t>5</w:t>
      </w:r>
      <w:r w:rsidRPr="003D3ED6">
        <w:rPr>
          <w:rFonts w:hint="eastAsia"/>
        </w:rPr>
        <w:t>年</w:t>
      </w:r>
      <w:r>
        <w:rPr>
          <w:rFonts w:hint="eastAsia"/>
        </w:rPr>
        <w:t>省</w:t>
      </w:r>
      <w:r w:rsidRPr="003D3ED6">
        <w:rPr>
          <w:rFonts w:hint="eastAsia"/>
        </w:rPr>
        <w:t>本级综合财力为</w:t>
      </w:r>
      <w:r w:rsidRPr="002628A2">
        <w:t>1,380.06</w:t>
      </w:r>
      <w:r w:rsidRPr="003D3ED6">
        <w:rPr>
          <w:rFonts w:hint="eastAsia"/>
        </w:rPr>
        <w:t>亿元</w:t>
      </w:r>
      <w:r w:rsidRPr="003D3ED6">
        <w:rPr>
          <w:rFonts w:hint="eastAsia"/>
          <w:szCs w:val="21"/>
        </w:rPr>
        <w:t>，其中省本级</w:t>
      </w:r>
      <w:r>
        <w:rPr>
          <w:rFonts w:hint="eastAsia"/>
          <w:szCs w:val="21"/>
        </w:rPr>
        <w:t>一般</w:t>
      </w:r>
      <w:r w:rsidRPr="003D3ED6">
        <w:rPr>
          <w:rFonts w:hint="eastAsia"/>
          <w:szCs w:val="21"/>
        </w:rPr>
        <w:t>公共</w:t>
      </w:r>
      <w:r>
        <w:rPr>
          <w:rFonts w:hint="eastAsia"/>
          <w:szCs w:val="21"/>
        </w:rPr>
        <w:t>预算</w:t>
      </w:r>
      <w:r w:rsidRPr="003D3ED6">
        <w:rPr>
          <w:rFonts w:hint="eastAsia"/>
          <w:szCs w:val="21"/>
        </w:rPr>
        <w:t>财力为</w:t>
      </w:r>
      <w:r w:rsidRPr="002628A2">
        <w:rPr>
          <w:szCs w:val="21"/>
        </w:rPr>
        <w:t>1,193.77</w:t>
      </w:r>
      <w:r w:rsidRPr="003D3ED6">
        <w:rPr>
          <w:rFonts w:hint="eastAsia"/>
          <w:szCs w:val="21"/>
        </w:rPr>
        <w:t>亿元</w:t>
      </w:r>
      <w:r w:rsidRPr="003D3ED6">
        <w:rPr>
          <w:rFonts w:hint="eastAsia"/>
        </w:rPr>
        <w:t>。从全省人均综合</w:t>
      </w:r>
      <w:r w:rsidRPr="00254472">
        <w:rPr>
          <w:rFonts w:hint="eastAsia"/>
        </w:rPr>
        <w:t>财力来看，江苏省财力相对指标表</w:t>
      </w:r>
      <w:r w:rsidRPr="00D27E93">
        <w:rPr>
          <w:rFonts w:hint="eastAsia"/>
        </w:rPr>
        <w:t>现较好，</w:t>
      </w:r>
      <w:r w:rsidRPr="00D27E93">
        <w:t>201</w:t>
      </w:r>
      <w:r w:rsidRPr="00D27E93">
        <w:rPr>
          <w:rFonts w:hint="eastAsia"/>
        </w:rPr>
        <w:t>5</w:t>
      </w:r>
      <w:r w:rsidRPr="00D27E93">
        <w:rPr>
          <w:rFonts w:hint="eastAsia"/>
        </w:rPr>
        <w:t>年全省人均综合财力和人均一般公共预算财力分别为</w:t>
      </w:r>
      <w:r w:rsidRPr="002628A2">
        <w:rPr>
          <w:szCs w:val="21"/>
        </w:rPr>
        <w:t>19,341.39</w:t>
      </w:r>
      <w:r w:rsidRPr="00D27E93">
        <w:rPr>
          <w:rFonts w:hint="eastAsia"/>
        </w:rPr>
        <w:t>元和</w:t>
      </w:r>
      <w:r w:rsidRPr="002628A2">
        <w:t>12,732.04</w:t>
      </w:r>
      <w:r w:rsidRPr="00D27E93">
        <w:rPr>
          <w:rFonts w:hint="eastAsia"/>
        </w:rPr>
        <w:t>元，</w:t>
      </w:r>
      <w:r w:rsidRPr="00D27E93">
        <w:t>在省</w:t>
      </w:r>
      <w:r w:rsidRPr="00D27E93">
        <w:rPr>
          <w:rFonts w:hint="eastAsia"/>
        </w:rPr>
        <w:t>（自治区）</w:t>
      </w:r>
      <w:r w:rsidRPr="00D27E93">
        <w:t>级行政单位中位居前列。</w:t>
      </w:r>
      <w:r w:rsidRPr="007B601B">
        <w:rPr>
          <w:rFonts w:hint="eastAsia"/>
        </w:rPr>
        <w:t>未来，</w:t>
      </w:r>
      <w:r w:rsidRPr="005367BF">
        <w:rPr>
          <w:rFonts w:hint="eastAsia"/>
          <w:szCs w:val="21"/>
        </w:rPr>
        <w:t>尽管区域土地市场存在一定分</w:t>
      </w:r>
      <w:r w:rsidRPr="008D2F4B">
        <w:rPr>
          <w:rFonts w:hint="eastAsia"/>
          <w:szCs w:val="21"/>
        </w:rPr>
        <w:t>化，但</w:t>
      </w:r>
      <w:r>
        <w:rPr>
          <w:rFonts w:hint="eastAsia"/>
          <w:szCs w:val="21"/>
        </w:rPr>
        <w:t>江苏省</w:t>
      </w:r>
      <w:r w:rsidRPr="008D2F4B">
        <w:rPr>
          <w:rFonts w:hint="eastAsia"/>
          <w:szCs w:val="21"/>
        </w:rPr>
        <w:t>人口集聚效应较强，预计全省国有土地使用权出让收入在波动中有所增长</w:t>
      </w:r>
      <w:r>
        <w:rPr>
          <w:rFonts w:hint="eastAsia"/>
          <w:szCs w:val="21"/>
        </w:rPr>
        <w:t>，全省政府性基金收入仍将保持一定增长。加之</w:t>
      </w:r>
      <w:r w:rsidRPr="00AA468D">
        <w:rPr>
          <w:rFonts w:hint="eastAsia"/>
          <w:szCs w:val="21"/>
        </w:rPr>
        <w:t>稳健的产业结</w:t>
      </w:r>
      <w:r w:rsidRPr="00094226">
        <w:rPr>
          <w:szCs w:val="21"/>
        </w:rPr>
        <w:t>构和较大的经济增长潜力，长期看预计江苏省政府综合财力仍将</w:t>
      </w:r>
      <w:r w:rsidRPr="00094226">
        <w:rPr>
          <w:szCs w:val="21"/>
        </w:rPr>
        <w:lastRenderedPageBreak/>
        <w:t>保持增长。</w:t>
      </w:r>
    </w:p>
    <w:p w:rsidR="00713D7C" w:rsidRDefault="00486F91" w:rsidP="00713D7C">
      <w:pPr>
        <w:spacing w:beforeLines="50" w:before="156" w:line="300" w:lineRule="auto"/>
        <w:jc w:val="center"/>
        <w:rPr>
          <w:rFonts w:eastAsia="黑体"/>
          <w:b/>
          <w:sz w:val="20"/>
          <w:szCs w:val="20"/>
        </w:rPr>
      </w:pPr>
      <w:r w:rsidRPr="005C28CA">
        <w:rPr>
          <w:rFonts w:eastAsia="黑体" w:hint="eastAsia"/>
          <w:b/>
          <w:sz w:val="20"/>
          <w:szCs w:val="20"/>
        </w:rPr>
        <w:t>表</w:t>
      </w:r>
      <w:r w:rsidRPr="005C28CA">
        <w:rPr>
          <w:rFonts w:eastAsia="黑体"/>
          <w:b/>
          <w:sz w:val="20"/>
          <w:szCs w:val="20"/>
        </w:rPr>
        <w:t>3</w:t>
      </w:r>
      <w:r w:rsidRPr="005C28CA">
        <w:rPr>
          <w:rFonts w:eastAsia="黑体" w:hint="eastAsia"/>
          <w:b/>
          <w:sz w:val="20"/>
          <w:szCs w:val="20"/>
        </w:rPr>
        <w:t>：</w:t>
      </w:r>
      <w:r w:rsidRPr="005C28CA">
        <w:rPr>
          <w:rFonts w:eastAsia="黑体"/>
          <w:b/>
          <w:sz w:val="20"/>
          <w:szCs w:val="20"/>
        </w:rPr>
        <w:t>201</w:t>
      </w:r>
      <w:r w:rsidR="006B0350">
        <w:rPr>
          <w:rFonts w:eastAsia="黑体" w:hint="eastAsia"/>
          <w:b/>
          <w:sz w:val="20"/>
          <w:szCs w:val="20"/>
        </w:rPr>
        <w:t>3</w:t>
      </w:r>
      <w:r w:rsidRPr="005C28CA">
        <w:rPr>
          <w:rFonts w:eastAsia="黑体"/>
          <w:b/>
          <w:sz w:val="20"/>
          <w:szCs w:val="20"/>
        </w:rPr>
        <w:t>~</w:t>
      </w:r>
      <w:r w:rsidR="00713D7C" w:rsidRPr="005C28CA">
        <w:rPr>
          <w:rFonts w:eastAsia="黑体"/>
          <w:b/>
          <w:sz w:val="20"/>
          <w:szCs w:val="20"/>
        </w:rPr>
        <w:t>201</w:t>
      </w:r>
      <w:r w:rsidR="00713D7C">
        <w:rPr>
          <w:rFonts w:eastAsia="黑体" w:hint="eastAsia"/>
          <w:b/>
          <w:sz w:val="20"/>
          <w:szCs w:val="20"/>
        </w:rPr>
        <w:t>5</w:t>
      </w:r>
      <w:r w:rsidRPr="005C28CA">
        <w:rPr>
          <w:rFonts w:eastAsia="黑体" w:hint="eastAsia"/>
          <w:b/>
          <w:sz w:val="20"/>
          <w:szCs w:val="20"/>
        </w:rPr>
        <w:t>年江苏全省和省本级综合财力规模及结构情况</w:t>
      </w:r>
    </w:p>
    <w:tbl>
      <w:tblPr>
        <w:tblW w:w="4933" w:type="pct"/>
        <w:jc w:val="center"/>
        <w:tblBorders>
          <w:top w:val="single" w:sz="4" w:space="0" w:color="auto"/>
          <w:bottom w:val="single" w:sz="4" w:space="0" w:color="auto"/>
          <w:insideH w:val="single" w:sz="4" w:space="0" w:color="999999"/>
          <w:insideV w:val="single" w:sz="4" w:space="0" w:color="999999"/>
        </w:tblBorders>
        <w:tblLayout w:type="fixed"/>
        <w:tblLook w:val="04A0" w:firstRow="1" w:lastRow="0" w:firstColumn="1" w:lastColumn="0" w:noHBand="0" w:noVBand="1"/>
      </w:tblPr>
      <w:tblGrid>
        <w:gridCol w:w="2923"/>
        <w:gridCol w:w="1134"/>
        <w:gridCol w:w="1134"/>
        <w:gridCol w:w="1134"/>
        <w:gridCol w:w="992"/>
        <w:gridCol w:w="1134"/>
        <w:gridCol w:w="993"/>
      </w:tblGrid>
      <w:tr w:rsidR="00713D7C" w:rsidRPr="00094226" w:rsidTr="007C2266">
        <w:trPr>
          <w:trHeight w:val="340"/>
          <w:jc w:val="center"/>
        </w:trPr>
        <w:tc>
          <w:tcPr>
            <w:tcW w:w="2923" w:type="dxa"/>
            <w:vMerge w:val="restart"/>
            <w:shd w:val="clear" w:color="000000" w:fill="0070C0"/>
            <w:vAlign w:val="center"/>
          </w:tcPr>
          <w:p w:rsidR="00713D7C" w:rsidRPr="00094226" w:rsidRDefault="00713D7C" w:rsidP="007C2266">
            <w:pPr>
              <w:widowControl/>
              <w:jc w:val="center"/>
              <w:rPr>
                <w:b/>
                <w:bCs/>
                <w:color w:val="FFFFFF"/>
                <w:kern w:val="0"/>
                <w:sz w:val="18"/>
                <w:szCs w:val="18"/>
              </w:rPr>
            </w:pPr>
            <w:r w:rsidRPr="00094226">
              <w:rPr>
                <w:b/>
                <w:bCs/>
                <w:color w:val="FFFFFF"/>
                <w:kern w:val="0"/>
                <w:sz w:val="18"/>
                <w:szCs w:val="18"/>
              </w:rPr>
              <w:t>项目</w:t>
            </w:r>
          </w:p>
        </w:tc>
        <w:tc>
          <w:tcPr>
            <w:tcW w:w="2268" w:type="dxa"/>
            <w:gridSpan w:val="2"/>
            <w:shd w:val="clear" w:color="000000" w:fill="0070C0"/>
            <w:vAlign w:val="center"/>
          </w:tcPr>
          <w:p w:rsidR="00713D7C" w:rsidRPr="00094226" w:rsidRDefault="00713D7C" w:rsidP="007C2266">
            <w:pPr>
              <w:widowControl/>
              <w:jc w:val="center"/>
              <w:rPr>
                <w:b/>
                <w:bCs/>
                <w:color w:val="FFFFFF"/>
                <w:kern w:val="0"/>
                <w:sz w:val="18"/>
                <w:szCs w:val="18"/>
              </w:rPr>
            </w:pPr>
            <w:r w:rsidRPr="00094226">
              <w:rPr>
                <w:b/>
                <w:bCs/>
                <w:color w:val="FFFFFF"/>
                <w:kern w:val="0"/>
                <w:sz w:val="18"/>
                <w:szCs w:val="18"/>
              </w:rPr>
              <w:t>201</w:t>
            </w:r>
            <w:r>
              <w:rPr>
                <w:rFonts w:hint="eastAsia"/>
                <w:b/>
                <w:bCs/>
                <w:color w:val="FFFFFF"/>
                <w:kern w:val="0"/>
                <w:sz w:val="18"/>
                <w:szCs w:val="18"/>
              </w:rPr>
              <w:t>3</w:t>
            </w:r>
            <w:r w:rsidRPr="00094226">
              <w:rPr>
                <w:b/>
                <w:bCs/>
                <w:color w:val="FFFFFF"/>
                <w:kern w:val="0"/>
                <w:sz w:val="18"/>
                <w:szCs w:val="18"/>
              </w:rPr>
              <w:t>年</w:t>
            </w:r>
          </w:p>
        </w:tc>
        <w:tc>
          <w:tcPr>
            <w:tcW w:w="2126" w:type="dxa"/>
            <w:gridSpan w:val="2"/>
            <w:shd w:val="clear" w:color="000000" w:fill="0070C0"/>
            <w:vAlign w:val="center"/>
          </w:tcPr>
          <w:p w:rsidR="00713D7C" w:rsidRPr="00094226" w:rsidRDefault="00713D7C" w:rsidP="007C2266">
            <w:pPr>
              <w:widowControl/>
              <w:jc w:val="center"/>
              <w:rPr>
                <w:b/>
                <w:bCs/>
                <w:color w:val="FFFFFF"/>
                <w:kern w:val="0"/>
                <w:sz w:val="18"/>
                <w:szCs w:val="18"/>
              </w:rPr>
            </w:pPr>
            <w:r w:rsidRPr="00094226">
              <w:rPr>
                <w:b/>
                <w:bCs/>
                <w:color w:val="FFFFFF"/>
                <w:kern w:val="0"/>
                <w:sz w:val="18"/>
                <w:szCs w:val="18"/>
              </w:rPr>
              <w:t>201</w:t>
            </w:r>
            <w:r>
              <w:rPr>
                <w:rFonts w:hint="eastAsia"/>
                <w:b/>
                <w:bCs/>
                <w:color w:val="FFFFFF"/>
                <w:kern w:val="0"/>
                <w:sz w:val="18"/>
                <w:szCs w:val="18"/>
              </w:rPr>
              <w:t>4</w:t>
            </w:r>
            <w:r w:rsidRPr="00094226">
              <w:rPr>
                <w:b/>
                <w:bCs/>
                <w:color w:val="FFFFFF"/>
                <w:kern w:val="0"/>
                <w:sz w:val="18"/>
                <w:szCs w:val="18"/>
              </w:rPr>
              <w:t>年</w:t>
            </w:r>
          </w:p>
        </w:tc>
        <w:tc>
          <w:tcPr>
            <w:tcW w:w="2127" w:type="dxa"/>
            <w:gridSpan w:val="2"/>
            <w:shd w:val="clear" w:color="000000" w:fill="0070C0"/>
          </w:tcPr>
          <w:p w:rsidR="00713D7C" w:rsidRPr="00094226" w:rsidRDefault="00713D7C" w:rsidP="007C2266">
            <w:pPr>
              <w:widowControl/>
              <w:jc w:val="center"/>
              <w:rPr>
                <w:b/>
                <w:bCs/>
                <w:color w:val="FFFFFF"/>
                <w:kern w:val="0"/>
                <w:sz w:val="18"/>
                <w:szCs w:val="18"/>
              </w:rPr>
            </w:pPr>
            <w:r w:rsidRPr="00F12262">
              <w:rPr>
                <w:b/>
                <w:bCs/>
                <w:color w:val="FFFFFF"/>
                <w:kern w:val="0"/>
                <w:sz w:val="18"/>
                <w:szCs w:val="18"/>
              </w:rPr>
              <w:t>201</w:t>
            </w:r>
            <w:r>
              <w:rPr>
                <w:rFonts w:hint="eastAsia"/>
                <w:b/>
                <w:bCs/>
                <w:color w:val="FFFFFF"/>
                <w:kern w:val="0"/>
                <w:sz w:val="18"/>
                <w:szCs w:val="18"/>
              </w:rPr>
              <w:t>5</w:t>
            </w:r>
            <w:r w:rsidRPr="00F12262">
              <w:rPr>
                <w:rFonts w:hint="eastAsia"/>
                <w:b/>
                <w:bCs/>
                <w:color w:val="FFFFFF"/>
                <w:kern w:val="0"/>
                <w:sz w:val="18"/>
                <w:szCs w:val="18"/>
              </w:rPr>
              <w:t>年</w:t>
            </w:r>
          </w:p>
        </w:tc>
      </w:tr>
      <w:tr w:rsidR="00713D7C" w:rsidRPr="00094226" w:rsidTr="007C2266">
        <w:trPr>
          <w:trHeight w:val="340"/>
          <w:jc w:val="center"/>
        </w:trPr>
        <w:tc>
          <w:tcPr>
            <w:tcW w:w="2923" w:type="dxa"/>
            <w:vMerge/>
            <w:vAlign w:val="center"/>
          </w:tcPr>
          <w:p w:rsidR="00713D7C" w:rsidRPr="00094226" w:rsidRDefault="00713D7C" w:rsidP="007C2266">
            <w:pPr>
              <w:widowControl/>
              <w:jc w:val="left"/>
              <w:rPr>
                <w:b/>
                <w:bCs/>
                <w:color w:val="FFFFFF"/>
                <w:kern w:val="0"/>
                <w:sz w:val="18"/>
                <w:szCs w:val="18"/>
              </w:rPr>
            </w:pPr>
          </w:p>
        </w:tc>
        <w:tc>
          <w:tcPr>
            <w:tcW w:w="1134" w:type="dxa"/>
            <w:shd w:val="clear" w:color="000000" w:fill="0070C0"/>
            <w:vAlign w:val="center"/>
          </w:tcPr>
          <w:p w:rsidR="00713D7C" w:rsidRPr="00094226" w:rsidRDefault="00713D7C" w:rsidP="007C2266">
            <w:pPr>
              <w:widowControl/>
              <w:jc w:val="center"/>
              <w:rPr>
                <w:b/>
                <w:bCs/>
                <w:color w:val="FFFFFF"/>
                <w:kern w:val="0"/>
                <w:sz w:val="18"/>
                <w:szCs w:val="18"/>
              </w:rPr>
            </w:pPr>
            <w:r w:rsidRPr="00094226">
              <w:rPr>
                <w:b/>
                <w:bCs/>
                <w:color w:val="FFFFFF"/>
                <w:kern w:val="0"/>
                <w:sz w:val="18"/>
                <w:szCs w:val="18"/>
              </w:rPr>
              <w:t>全省</w:t>
            </w:r>
          </w:p>
        </w:tc>
        <w:tc>
          <w:tcPr>
            <w:tcW w:w="1134" w:type="dxa"/>
            <w:shd w:val="clear" w:color="000000" w:fill="0070C0"/>
            <w:vAlign w:val="center"/>
          </w:tcPr>
          <w:p w:rsidR="00713D7C" w:rsidRPr="00094226" w:rsidRDefault="00713D7C" w:rsidP="007C2266">
            <w:pPr>
              <w:widowControl/>
              <w:jc w:val="center"/>
              <w:rPr>
                <w:b/>
                <w:bCs/>
                <w:color w:val="FFFFFF"/>
                <w:kern w:val="0"/>
                <w:sz w:val="18"/>
                <w:szCs w:val="18"/>
              </w:rPr>
            </w:pPr>
            <w:r w:rsidRPr="00094226">
              <w:rPr>
                <w:b/>
                <w:bCs/>
                <w:color w:val="FFFFFF"/>
                <w:kern w:val="0"/>
                <w:sz w:val="18"/>
                <w:szCs w:val="18"/>
              </w:rPr>
              <w:t>省本级</w:t>
            </w:r>
          </w:p>
        </w:tc>
        <w:tc>
          <w:tcPr>
            <w:tcW w:w="1134" w:type="dxa"/>
            <w:shd w:val="clear" w:color="000000" w:fill="0070C0"/>
            <w:vAlign w:val="center"/>
          </w:tcPr>
          <w:p w:rsidR="00713D7C" w:rsidRPr="00094226" w:rsidRDefault="00713D7C" w:rsidP="007C2266">
            <w:pPr>
              <w:widowControl/>
              <w:jc w:val="center"/>
              <w:rPr>
                <w:b/>
                <w:bCs/>
                <w:color w:val="FFFFFF"/>
                <w:kern w:val="0"/>
                <w:sz w:val="18"/>
                <w:szCs w:val="18"/>
              </w:rPr>
            </w:pPr>
            <w:r w:rsidRPr="00094226">
              <w:rPr>
                <w:b/>
                <w:bCs/>
                <w:color w:val="FFFFFF"/>
                <w:kern w:val="0"/>
                <w:sz w:val="18"/>
                <w:szCs w:val="18"/>
              </w:rPr>
              <w:t>全省</w:t>
            </w:r>
          </w:p>
        </w:tc>
        <w:tc>
          <w:tcPr>
            <w:tcW w:w="992" w:type="dxa"/>
            <w:shd w:val="clear" w:color="000000" w:fill="0070C0"/>
            <w:vAlign w:val="center"/>
          </w:tcPr>
          <w:p w:rsidR="00713D7C" w:rsidRPr="00094226" w:rsidRDefault="00713D7C" w:rsidP="007C2266">
            <w:pPr>
              <w:widowControl/>
              <w:jc w:val="center"/>
              <w:rPr>
                <w:b/>
                <w:bCs/>
                <w:color w:val="FFFFFF"/>
                <w:kern w:val="0"/>
                <w:sz w:val="18"/>
                <w:szCs w:val="18"/>
              </w:rPr>
            </w:pPr>
            <w:r w:rsidRPr="00094226">
              <w:rPr>
                <w:b/>
                <w:bCs/>
                <w:color w:val="FFFFFF"/>
                <w:kern w:val="0"/>
                <w:sz w:val="18"/>
                <w:szCs w:val="18"/>
              </w:rPr>
              <w:t>省本级</w:t>
            </w:r>
          </w:p>
        </w:tc>
        <w:tc>
          <w:tcPr>
            <w:tcW w:w="1134" w:type="dxa"/>
            <w:shd w:val="clear" w:color="000000" w:fill="0070C0"/>
            <w:vAlign w:val="center"/>
          </w:tcPr>
          <w:p w:rsidR="00713D7C" w:rsidRPr="00094226" w:rsidRDefault="00713D7C" w:rsidP="007C2266">
            <w:pPr>
              <w:widowControl/>
              <w:jc w:val="center"/>
              <w:rPr>
                <w:b/>
                <w:bCs/>
                <w:color w:val="FFFFFF"/>
                <w:kern w:val="0"/>
                <w:sz w:val="18"/>
                <w:szCs w:val="18"/>
              </w:rPr>
            </w:pPr>
            <w:r w:rsidRPr="00094226">
              <w:rPr>
                <w:b/>
                <w:bCs/>
                <w:color w:val="FFFFFF"/>
                <w:kern w:val="0"/>
                <w:sz w:val="18"/>
                <w:szCs w:val="18"/>
              </w:rPr>
              <w:t>全省</w:t>
            </w:r>
          </w:p>
        </w:tc>
        <w:tc>
          <w:tcPr>
            <w:tcW w:w="993" w:type="dxa"/>
            <w:shd w:val="clear" w:color="000000" w:fill="0070C0"/>
            <w:vAlign w:val="center"/>
          </w:tcPr>
          <w:p w:rsidR="00713D7C" w:rsidRPr="00094226" w:rsidRDefault="00713D7C" w:rsidP="007C2266">
            <w:pPr>
              <w:widowControl/>
              <w:jc w:val="center"/>
              <w:rPr>
                <w:b/>
                <w:bCs/>
                <w:color w:val="FFFFFF"/>
                <w:kern w:val="0"/>
                <w:sz w:val="18"/>
                <w:szCs w:val="18"/>
              </w:rPr>
            </w:pPr>
            <w:r w:rsidRPr="00094226">
              <w:rPr>
                <w:b/>
                <w:bCs/>
                <w:color w:val="FFFFFF"/>
                <w:kern w:val="0"/>
                <w:sz w:val="18"/>
                <w:szCs w:val="18"/>
              </w:rPr>
              <w:t>省本级</w:t>
            </w:r>
          </w:p>
        </w:tc>
      </w:tr>
      <w:tr w:rsidR="00713D7C" w:rsidRPr="00094226" w:rsidTr="007C2266">
        <w:trPr>
          <w:trHeight w:val="340"/>
          <w:jc w:val="center"/>
        </w:trPr>
        <w:tc>
          <w:tcPr>
            <w:tcW w:w="2923" w:type="dxa"/>
            <w:shd w:val="clear" w:color="auto" w:fill="FFFFFF"/>
            <w:noWrap/>
            <w:vAlign w:val="center"/>
          </w:tcPr>
          <w:p w:rsidR="00713D7C" w:rsidRPr="00094226" w:rsidRDefault="00713D7C" w:rsidP="007C2266">
            <w:pPr>
              <w:widowControl/>
              <w:jc w:val="left"/>
              <w:rPr>
                <w:b/>
                <w:bCs/>
                <w:color w:val="000000"/>
                <w:kern w:val="0"/>
                <w:sz w:val="18"/>
                <w:szCs w:val="18"/>
              </w:rPr>
            </w:pPr>
            <w:r w:rsidRPr="00094226">
              <w:rPr>
                <w:b/>
                <w:bCs/>
                <w:color w:val="000000"/>
                <w:kern w:val="0"/>
                <w:sz w:val="18"/>
                <w:szCs w:val="18"/>
              </w:rPr>
              <w:t>综合财力（亿元）</w:t>
            </w:r>
          </w:p>
        </w:tc>
        <w:tc>
          <w:tcPr>
            <w:tcW w:w="1134" w:type="dxa"/>
            <w:shd w:val="clear" w:color="auto" w:fill="FFFFFF"/>
            <w:vAlign w:val="center"/>
          </w:tcPr>
          <w:p w:rsidR="00713D7C" w:rsidRPr="00094226" w:rsidRDefault="00713D7C" w:rsidP="007C2266">
            <w:pPr>
              <w:jc w:val="right"/>
              <w:rPr>
                <w:b/>
                <w:color w:val="000000"/>
                <w:sz w:val="18"/>
                <w:szCs w:val="18"/>
              </w:rPr>
            </w:pPr>
            <w:r w:rsidRPr="00094226">
              <w:rPr>
                <w:b/>
                <w:color w:val="000000"/>
                <w:sz w:val="18"/>
                <w:szCs w:val="18"/>
              </w:rPr>
              <w:t xml:space="preserve">13,608.83 </w:t>
            </w:r>
          </w:p>
        </w:tc>
        <w:tc>
          <w:tcPr>
            <w:tcW w:w="1134" w:type="dxa"/>
            <w:shd w:val="clear" w:color="auto" w:fill="FFFFFF"/>
            <w:vAlign w:val="center"/>
          </w:tcPr>
          <w:p w:rsidR="00713D7C" w:rsidRPr="00094226" w:rsidRDefault="00713D7C" w:rsidP="007C2266">
            <w:pPr>
              <w:jc w:val="right"/>
              <w:rPr>
                <w:b/>
                <w:color w:val="000000"/>
                <w:sz w:val="18"/>
                <w:szCs w:val="18"/>
              </w:rPr>
            </w:pPr>
            <w:r w:rsidRPr="00094226">
              <w:rPr>
                <w:b/>
                <w:color w:val="000000"/>
                <w:sz w:val="18"/>
                <w:szCs w:val="18"/>
              </w:rPr>
              <w:t>1,125.94</w:t>
            </w:r>
          </w:p>
        </w:tc>
        <w:tc>
          <w:tcPr>
            <w:tcW w:w="1134" w:type="dxa"/>
            <w:shd w:val="clear" w:color="auto" w:fill="FFFFFF"/>
          </w:tcPr>
          <w:p w:rsidR="00713D7C" w:rsidRPr="00865958" w:rsidRDefault="00713D7C" w:rsidP="007C2266">
            <w:pPr>
              <w:jc w:val="right"/>
              <w:rPr>
                <w:b/>
                <w:color w:val="000000"/>
                <w:sz w:val="18"/>
                <w:szCs w:val="18"/>
              </w:rPr>
            </w:pPr>
            <w:r>
              <w:rPr>
                <w:b/>
                <w:color w:val="000000"/>
                <w:sz w:val="18"/>
                <w:szCs w:val="18"/>
              </w:rPr>
              <w:t>15,</w:t>
            </w:r>
            <w:r>
              <w:rPr>
                <w:rFonts w:hint="eastAsia"/>
                <w:b/>
                <w:color w:val="000000"/>
                <w:sz w:val="18"/>
                <w:szCs w:val="18"/>
              </w:rPr>
              <w:t>126</w:t>
            </w:r>
            <w:r>
              <w:rPr>
                <w:b/>
                <w:color w:val="000000"/>
                <w:sz w:val="18"/>
                <w:szCs w:val="18"/>
              </w:rPr>
              <w:t>.</w:t>
            </w:r>
            <w:r>
              <w:rPr>
                <w:rFonts w:hint="eastAsia"/>
                <w:b/>
                <w:color w:val="000000"/>
                <w:sz w:val="18"/>
                <w:szCs w:val="18"/>
              </w:rPr>
              <w:t>56</w:t>
            </w:r>
          </w:p>
        </w:tc>
        <w:tc>
          <w:tcPr>
            <w:tcW w:w="992" w:type="dxa"/>
            <w:shd w:val="clear" w:color="auto" w:fill="FFFFFF"/>
          </w:tcPr>
          <w:p w:rsidR="00713D7C" w:rsidRPr="007A4245" w:rsidRDefault="00713D7C" w:rsidP="007C2266">
            <w:pPr>
              <w:jc w:val="right"/>
              <w:rPr>
                <w:b/>
                <w:color w:val="000000"/>
                <w:sz w:val="18"/>
                <w:szCs w:val="18"/>
              </w:rPr>
            </w:pPr>
            <w:r>
              <w:rPr>
                <w:rFonts w:hint="eastAsia"/>
                <w:b/>
                <w:color w:val="000000"/>
                <w:sz w:val="18"/>
                <w:szCs w:val="18"/>
              </w:rPr>
              <w:t>1,223.01</w:t>
            </w:r>
          </w:p>
        </w:tc>
        <w:tc>
          <w:tcPr>
            <w:tcW w:w="1134" w:type="dxa"/>
            <w:shd w:val="clear" w:color="auto" w:fill="FFFFFF"/>
          </w:tcPr>
          <w:p w:rsidR="00713D7C" w:rsidRPr="002628A2" w:rsidRDefault="00713D7C" w:rsidP="007C2266">
            <w:pPr>
              <w:jc w:val="right"/>
              <w:rPr>
                <w:b/>
                <w:color w:val="000000"/>
                <w:sz w:val="18"/>
                <w:szCs w:val="18"/>
                <w:highlight w:val="yellow"/>
              </w:rPr>
            </w:pPr>
            <w:r w:rsidRPr="009D6497">
              <w:rPr>
                <w:b/>
                <w:color w:val="000000"/>
                <w:sz w:val="18"/>
                <w:szCs w:val="18"/>
              </w:rPr>
              <w:t>15,427.27</w:t>
            </w:r>
          </w:p>
        </w:tc>
        <w:tc>
          <w:tcPr>
            <w:tcW w:w="993" w:type="dxa"/>
            <w:shd w:val="clear" w:color="auto" w:fill="FFFFFF"/>
          </w:tcPr>
          <w:p w:rsidR="00713D7C" w:rsidRPr="002628A2" w:rsidRDefault="00713D7C" w:rsidP="007C2266">
            <w:pPr>
              <w:jc w:val="right"/>
              <w:rPr>
                <w:b/>
                <w:color w:val="000000"/>
                <w:sz w:val="18"/>
                <w:szCs w:val="18"/>
                <w:highlight w:val="yellow"/>
              </w:rPr>
            </w:pPr>
            <w:r w:rsidRPr="009D6497">
              <w:rPr>
                <w:b/>
                <w:color w:val="000000"/>
                <w:sz w:val="18"/>
                <w:szCs w:val="18"/>
              </w:rPr>
              <w:t>1,380.06</w:t>
            </w:r>
          </w:p>
        </w:tc>
      </w:tr>
      <w:tr w:rsidR="00713D7C" w:rsidRPr="00094226" w:rsidTr="007C2266">
        <w:trPr>
          <w:trHeight w:val="340"/>
          <w:jc w:val="center"/>
        </w:trPr>
        <w:tc>
          <w:tcPr>
            <w:tcW w:w="2923" w:type="dxa"/>
            <w:shd w:val="clear" w:color="auto" w:fill="D3EDFB"/>
            <w:noWrap/>
            <w:vAlign w:val="center"/>
          </w:tcPr>
          <w:p w:rsidR="00713D7C" w:rsidRPr="00094226" w:rsidRDefault="00713D7C" w:rsidP="007C2266">
            <w:pPr>
              <w:widowControl/>
              <w:rPr>
                <w:color w:val="000000"/>
                <w:kern w:val="0"/>
                <w:sz w:val="18"/>
                <w:szCs w:val="18"/>
              </w:rPr>
            </w:pPr>
            <w:r w:rsidRPr="00094226">
              <w:rPr>
                <w:color w:val="000000"/>
                <w:kern w:val="0"/>
                <w:sz w:val="18"/>
                <w:szCs w:val="18"/>
              </w:rPr>
              <w:t>一般公共预算财力（亿元）</w:t>
            </w:r>
          </w:p>
        </w:tc>
        <w:tc>
          <w:tcPr>
            <w:tcW w:w="1134" w:type="dxa"/>
            <w:shd w:val="clear" w:color="auto" w:fill="D3EDFB"/>
            <w:vAlign w:val="center"/>
          </w:tcPr>
          <w:p w:rsidR="00713D7C" w:rsidRPr="00094226" w:rsidRDefault="00713D7C" w:rsidP="007C2266">
            <w:pPr>
              <w:jc w:val="right"/>
              <w:rPr>
                <w:color w:val="000000"/>
                <w:sz w:val="18"/>
                <w:szCs w:val="18"/>
              </w:rPr>
            </w:pPr>
            <w:r w:rsidRPr="00094226">
              <w:rPr>
                <w:color w:val="000000"/>
                <w:sz w:val="18"/>
                <w:szCs w:val="18"/>
              </w:rPr>
              <w:t xml:space="preserve">7,933.67 </w:t>
            </w:r>
          </w:p>
        </w:tc>
        <w:tc>
          <w:tcPr>
            <w:tcW w:w="1134" w:type="dxa"/>
            <w:shd w:val="clear" w:color="auto" w:fill="D3EDFB"/>
            <w:vAlign w:val="center"/>
          </w:tcPr>
          <w:p w:rsidR="00713D7C" w:rsidRPr="00094226" w:rsidRDefault="00713D7C" w:rsidP="007C2266">
            <w:pPr>
              <w:jc w:val="right"/>
              <w:rPr>
                <w:color w:val="000000"/>
                <w:sz w:val="18"/>
                <w:szCs w:val="18"/>
              </w:rPr>
            </w:pPr>
            <w:r w:rsidRPr="00094226">
              <w:rPr>
                <w:color w:val="000000"/>
                <w:sz w:val="18"/>
                <w:szCs w:val="18"/>
              </w:rPr>
              <w:t xml:space="preserve">956.46 </w:t>
            </w:r>
          </w:p>
        </w:tc>
        <w:tc>
          <w:tcPr>
            <w:tcW w:w="1134" w:type="dxa"/>
            <w:shd w:val="clear" w:color="auto" w:fill="D3EDFB"/>
            <w:noWrap/>
          </w:tcPr>
          <w:p w:rsidR="00713D7C" w:rsidRPr="00865958" w:rsidRDefault="00713D7C" w:rsidP="007C2266">
            <w:pPr>
              <w:jc w:val="right"/>
              <w:rPr>
                <w:color w:val="000000"/>
                <w:sz w:val="18"/>
                <w:szCs w:val="18"/>
              </w:rPr>
            </w:pPr>
            <w:r>
              <w:rPr>
                <w:rFonts w:hint="eastAsia"/>
                <w:color w:val="000000"/>
                <w:sz w:val="18"/>
                <w:szCs w:val="18"/>
              </w:rPr>
              <w:t>9,004.39</w:t>
            </w:r>
          </w:p>
        </w:tc>
        <w:tc>
          <w:tcPr>
            <w:tcW w:w="992" w:type="dxa"/>
            <w:shd w:val="clear" w:color="auto" w:fill="D3EDFB"/>
          </w:tcPr>
          <w:p w:rsidR="00713D7C" w:rsidRPr="007A4245" w:rsidRDefault="00713D7C" w:rsidP="007C2266">
            <w:pPr>
              <w:jc w:val="right"/>
              <w:rPr>
                <w:color w:val="000000"/>
                <w:sz w:val="18"/>
                <w:szCs w:val="18"/>
              </w:rPr>
            </w:pPr>
            <w:r>
              <w:rPr>
                <w:rFonts w:hint="eastAsia"/>
                <w:color w:val="000000"/>
                <w:sz w:val="18"/>
                <w:szCs w:val="18"/>
              </w:rPr>
              <w:t>1,050.18</w:t>
            </w:r>
          </w:p>
        </w:tc>
        <w:tc>
          <w:tcPr>
            <w:tcW w:w="1134" w:type="dxa"/>
            <w:shd w:val="clear" w:color="auto" w:fill="D3EDFB"/>
          </w:tcPr>
          <w:p w:rsidR="00713D7C" w:rsidRPr="002628A2" w:rsidRDefault="00713D7C" w:rsidP="007C2266">
            <w:pPr>
              <w:jc w:val="right"/>
              <w:rPr>
                <w:color w:val="000000"/>
                <w:sz w:val="18"/>
                <w:szCs w:val="18"/>
                <w:highlight w:val="yellow"/>
              </w:rPr>
            </w:pPr>
            <w:r w:rsidRPr="009D6497">
              <w:rPr>
                <w:color w:val="000000"/>
                <w:sz w:val="18"/>
                <w:szCs w:val="18"/>
              </w:rPr>
              <w:t>10,155.45</w:t>
            </w:r>
          </w:p>
        </w:tc>
        <w:tc>
          <w:tcPr>
            <w:tcW w:w="993" w:type="dxa"/>
            <w:shd w:val="clear" w:color="auto" w:fill="D3EDFB"/>
          </w:tcPr>
          <w:p w:rsidR="00713D7C" w:rsidRPr="002628A2" w:rsidRDefault="00713D7C" w:rsidP="007C2266">
            <w:pPr>
              <w:jc w:val="right"/>
              <w:rPr>
                <w:color w:val="000000"/>
                <w:sz w:val="18"/>
                <w:szCs w:val="18"/>
                <w:highlight w:val="yellow"/>
              </w:rPr>
            </w:pPr>
            <w:r w:rsidRPr="009D6497">
              <w:rPr>
                <w:color w:val="000000"/>
                <w:sz w:val="18"/>
                <w:szCs w:val="18"/>
              </w:rPr>
              <w:t>1,193.77</w:t>
            </w:r>
          </w:p>
        </w:tc>
      </w:tr>
      <w:tr w:rsidR="00713D7C" w:rsidRPr="00094226" w:rsidTr="007C2266">
        <w:trPr>
          <w:trHeight w:val="340"/>
          <w:jc w:val="center"/>
        </w:trPr>
        <w:tc>
          <w:tcPr>
            <w:tcW w:w="2923" w:type="dxa"/>
            <w:shd w:val="clear" w:color="auto" w:fill="FFFFFF"/>
            <w:noWrap/>
            <w:vAlign w:val="center"/>
          </w:tcPr>
          <w:p w:rsidR="00713D7C" w:rsidRPr="00094226" w:rsidRDefault="00713D7C" w:rsidP="007C2266">
            <w:pPr>
              <w:widowControl/>
              <w:ind w:firstLineChars="100" w:firstLine="180"/>
              <w:jc w:val="right"/>
              <w:rPr>
                <w:color w:val="000000"/>
                <w:kern w:val="0"/>
                <w:sz w:val="18"/>
                <w:szCs w:val="18"/>
              </w:rPr>
            </w:pPr>
            <w:r w:rsidRPr="00094226">
              <w:rPr>
                <w:color w:val="000000"/>
                <w:kern w:val="0"/>
                <w:sz w:val="18"/>
                <w:szCs w:val="18"/>
              </w:rPr>
              <w:t>其中：一般公共预算收入</w:t>
            </w:r>
          </w:p>
        </w:tc>
        <w:tc>
          <w:tcPr>
            <w:tcW w:w="1134" w:type="dxa"/>
            <w:shd w:val="clear" w:color="auto" w:fill="FFFFFF"/>
            <w:vAlign w:val="center"/>
          </w:tcPr>
          <w:p w:rsidR="00713D7C" w:rsidRPr="00094226" w:rsidRDefault="00713D7C" w:rsidP="007C2266">
            <w:pPr>
              <w:jc w:val="right"/>
              <w:rPr>
                <w:color w:val="000000"/>
                <w:sz w:val="18"/>
                <w:szCs w:val="18"/>
              </w:rPr>
            </w:pPr>
            <w:r w:rsidRPr="00094226">
              <w:rPr>
                <w:color w:val="000000"/>
                <w:sz w:val="18"/>
                <w:szCs w:val="18"/>
              </w:rPr>
              <w:t xml:space="preserve">6,568.46 </w:t>
            </w:r>
          </w:p>
        </w:tc>
        <w:tc>
          <w:tcPr>
            <w:tcW w:w="1134" w:type="dxa"/>
            <w:shd w:val="clear" w:color="auto" w:fill="FFFFFF"/>
            <w:vAlign w:val="center"/>
          </w:tcPr>
          <w:p w:rsidR="00713D7C" w:rsidRPr="00094226" w:rsidRDefault="00713D7C" w:rsidP="007C2266">
            <w:pPr>
              <w:jc w:val="right"/>
              <w:rPr>
                <w:color w:val="000000"/>
                <w:sz w:val="18"/>
                <w:szCs w:val="18"/>
              </w:rPr>
            </w:pPr>
            <w:r w:rsidRPr="00094226">
              <w:rPr>
                <w:color w:val="000000"/>
                <w:sz w:val="18"/>
                <w:szCs w:val="18"/>
              </w:rPr>
              <w:t xml:space="preserve">555.95 </w:t>
            </w:r>
          </w:p>
        </w:tc>
        <w:tc>
          <w:tcPr>
            <w:tcW w:w="1134" w:type="dxa"/>
            <w:shd w:val="clear" w:color="auto" w:fill="FFFFFF"/>
          </w:tcPr>
          <w:p w:rsidR="00713D7C" w:rsidRPr="00865958" w:rsidRDefault="00713D7C" w:rsidP="007C2266">
            <w:pPr>
              <w:jc w:val="right"/>
              <w:rPr>
                <w:color w:val="000000"/>
                <w:sz w:val="18"/>
                <w:szCs w:val="18"/>
              </w:rPr>
            </w:pPr>
            <w:r w:rsidRPr="00865958">
              <w:rPr>
                <w:color w:val="000000"/>
                <w:sz w:val="18"/>
                <w:szCs w:val="18"/>
              </w:rPr>
              <w:t>7,233.14</w:t>
            </w:r>
          </w:p>
        </w:tc>
        <w:tc>
          <w:tcPr>
            <w:tcW w:w="992" w:type="dxa"/>
            <w:shd w:val="clear" w:color="auto" w:fill="FFFFFF"/>
          </w:tcPr>
          <w:p w:rsidR="00713D7C" w:rsidRPr="007A4245" w:rsidRDefault="00713D7C" w:rsidP="007C2266">
            <w:pPr>
              <w:jc w:val="right"/>
              <w:rPr>
                <w:color w:val="000000"/>
                <w:sz w:val="18"/>
                <w:szCs w:val="18"/>
              </w:rPr>
            </w:pPr>
            <w:r w:rsidRPr="007A4245">
              <w:rPr>
                <w:rFonts w:hint="eastAsia"/>
                <w:color w:val="000000"/>
                <w:sz w:val="18"/>
                <w:szCs w:val="18"/>
              </w:rPr>
              <w:t>612.30</w:t>
            </w:r>
          </w:p>
        </w:tc>
        <w:tc>
          <w:tcPr>
            <w:tcW w:w="1134" w:type="dxa"/>
            <w:shd w:val="clear" w:color="auto" w:fill="FFFFFF"/>
          </w:tcPr>
          <w:p w:rsidR="00713D7C" w:rsidRPr="00865958" w:rsidRDefault="00713D7C" w:rsidP="007C2266">
            <w:pPr>
              <w:jc w:val="right"/>
              <w:rPr>
                <w:color w:val="000000"/>
                <w:sz w:val="18"/>
                <w:szCs w:val="18"/>
              </w:rPr>
            </w:pPr>
            <w:r>
              <w:rPr>
                <w:rFonts w:hint="eastAsia"/>
                <w:kern w:val="0"/>
                <w:sz w:val="18"/>
                <w:szCs w:val="18"/>
              </w:rPr>
              <w:t>8,028.59</w:t>
            </w:r>
          </w:p>
        </w:tc>
        <w:tc>
          <w:tcPr>
            <w:tcW w:w="993" w:type="dxa"/>
            <w:shd w:val="clear" w:color="auto" w:fill="FFFFFF"/>
          </w:tcPr>
          <w:p w:rsidR="00713D7C" w:rsidRPr="007A4245" w:rsidRDefault="00713D7C" w:rsidP="007C2266">
            <w:pPr>
              <w:jc w:val="right"/>
              <w:rPr>
                <w:color w:val="000000"/>
                <w:sz w:val="18"/>
                <w:szCs w:val="18"/>
              </w:rPr>
            </w:pPr>
            <w:r w:rsidRPr="003F44C4">
              <w:rPr>
                <w:color w:val="000000"/>
                <w:sz w:val="18"/>
                <w:szCs w:val="18"/>
              </w:rPr>
              <w:t>683.81</w:t>
            </w:r>
          </w:p>
        </w:tc>
      </w:tr>
      <w:tr w:rsidR="00713D7C" w:rsidRPr="00094226" w:rsidTr="007C2266">
        <w:trPr>
          <w:trHeight w:val="340"/>
          <w:jc w:val="center"/>
        </w:trPr>
        <w:tc>
          <w:tcPr>
            <w:tcW w:w="2923" w:type="dxa"/>
            <w:shd w:val="clear" w:color="auto" w:fill="D3EDFB"/>
            <w:noWrap/>
            <w:vAlign w:val="center"/>
          </w:tcPr>
          <w:p w:rsidR="00713D7C" w:rsidRPr="00094226" w:rsidRDefault="00713D7C" w:rsidP="007C2266">
            <w:pPr>
              <w:widowControl/>
              <w:jc w:val="left"/>
              <w:rPr>
                <w:color w:val="000000"/>
                <w:kern w:val="0"/>
                <w:sz w:val="18"/>
                <w:szCs w:val="18"/>
              </w:rPr>
            </w:pPr>
            <w:r w:rsidRPr="00094226">
              <w:rPr>
                <w:color w:val="000000"/>
                <w:kern w:val="0"/>
                <w:sz w:val="18"/>
                <w:szCs w:val="18"/>
              </w:rPr>
              <w:t>政府性基金财力（亿元）</w:t>
            </w:r>
          </w:p>
        </w:tc>
        <w:tc>
          <w:tcPr>
            <w:tcW w:w="1134" w:type="dxa"/>
            <w:shd w:val="clear" w:color="auto" w:fill="D3EDFB"/>
            <w:vAlign w:val="center"/>
          </w:tcPr>
          <w:p w:rsidR="00713D7C" w:rsidRPr="00094226" w:rsidRDefault="00713D7C" w:rsidP="007C2266">
            <w:pPr>
              <w:jc w:val="right"/>
              <w:rPr>
                <w:color w:val="000000"/>
                <w:sz w:val="18"/>
                <w:szCs w:val="18"/>
              </w:rPr>
            </w:pPr>
            <w:r w:rsidRPr="00094226">
              <w:rPr>
                <w:color w:val="000000"/>
                <w:sz w:val="18"/>
                <w:szCs w:val="18"/>
              </w:rPr>
              <w:t xml:space="preserve">5,675.16 </w:t>
            </w:r>
          </w:p>
        </w:tc>
        <w:tc>
          <w:tcPr>
            <w:tcW w:w="1134" w:type="dxa"/>
            <w:shd w:val="clear" w:color="auto" w:fill="D3EDFB"/>
            <w:vAlign w:val="center"/>
          </w:tcPr>
          <w:p w:rsidR="00713D7C" w:rsidRPr="00094226" w:rsidRDefault="00713D7C" w:rsidP="007C2266">
            <w:pPr>
              <w:jc w:val="right"/>
              <w:rPr>
                <w:color w:val="000000"/>
                <w:sz w:val="18"/>
                <w:szCs w:val="18"/>
              </w:rPr>
            </w:pPr>
            <w:r w:rsidRPr="00094226">
              <w:rPr>
                <w:color w:val="000000"/>
                <w:sz w:val="18"/>
                <w:szCs w:val="18"/>
              </w:rPr>
              <w:t xml:space="preserve">169.48 </w:t>
            </w:r>
          </w:p>
        </w:tc>
        <w:tc>
          <w:tcPr>
            <w:tcW w:w="1134" w:type="dxa"/>
            <w:shd w:val="clear" w:color="auto" w:fill="D3EDFB"/>
            <w:noWrap/>
          </w:tcPr>
          <w:p w:rsidR="00713D7C" w:rsidRPr="00865958" w:rsidRDefault="00713D7C" w:rsidP="007C2266">
            <w:pPr>
              <w:jc w:val="right"/>
              <w:rPr>
                <w:color w:val="000000"/>
                <w:sz w:val="18"/>
                <w:szCs w:val="18"/>
              </w:rPr>
            </w:pPr>
            <w:r w:rsidRPr="00865958">
              <w:rPr>
                <w:color w:val="000000"/>
                <w:sz w:val="18"/>
                <w:szCs w:val="18"/>
              </w:rPr>
              <w:t>6,1</w:t>
            </w:r>
            <w:r>
              <w:rPr>
                <w:rFonts w:hint="eastAsia"/>
                <w:color w:val="000000"/>
                <w:sz w:val="18"/>
                <w:szCs w:val="18"/>
              </w:rPr>
              <w:t>22.17</w:t>
            </w:r>
          </w:p>
        </w:tc>
        <w:tc>
          <w:tcPr>
            <w:tcW w:w="992" w:type="dxa"/>
            <w:shd w:val="clear" w:color="auto" w:fill="D3EDFB"/>
          </w:tcPr>
          <w:p w:rsidR="00713D7C" w:rsidRPr="007A4245" w:rsidRDefault="00713D7C" w:rsidP="007C2266">
            <w:pPr>
              <w:jc w:val="right"/>
              <w:rPr>
                <w:color w:val="000000"/>
                <w:sz w:val="18"/>
                <w:szCs w:val="18"/>
              </w:rPr>
            </w:pPr>
            <w:r w:rsidRPr="007A4245">
              <w:rPr>
                <w:rFonts w:hint="eastAsia"/>
                <w:color w:val="000000"/>
                <w:sz w:val="18"/>
                <w:szCs w:val="18"/>
              </w:rPr>
              <w:t>1</w:t>
            </w:r>
            <w:r>
              <w:rPr>
                <w:rFonts w:hint="eastAsia"/>
                <w:color w:val="000000"/>
                <w:sz w:val="18"/>
                <w:szCs w:val="18"/>
              </w:rPr>
              <w:t>72.82</w:t>
            </w:r>
          </w:p>
        </w:tc>
        <w:tc>
          <w:tcPr>
            <w:tcW w:w="1134" w:type="dxa"/>
            <w:shd w:val="clear" w:color="auto" w:fill="D3EDFB"/>
          </w:tcPr>
          <w:p w:rsidR="00713D7C" w:rsidRPr="00FC698D" w:rsidRDefault="00713D7C" w:rsidP="007C2266">
            <w:pPr>
              <w:jc w:val="right"/>
              <w:rPr>
                <w:color w:val="000000"/>
                <w:sz w:val="18"/>
                <w:szCs w:val="18"/>
              </w:rPr>
            </w:pPr>
            <w:r w:rsidRPr="00FC698D">
              <w:rPr>
                <w:rFonts w:hint="eastAsia"/>
                <w:color w:val="000000"/>
                <w:sz w:val="18"/>
                <w:szCs w:val="18"/>
              </w:rPr>
              <w:t>5,271.82</w:t>
            </w:r>
          </w:p>
        </w:tc>
        <w:tc>
          <w:tcPr>
            <w:tcW w:w="993" w:type="dxa"/>
            <w:shd w:val="clear" w:color="auto" w:fill="D3EDFB"/>
          </w:tcPr>
          <w:p w:rsidR="00713D7C" w:rsidRPr="00FC698D" w:rsidRDefault="00713D7C" w:rsidP="007C2266">
            <w:pPr>
              <w:jc w:val="right"/>
              <w:rPr>
                <w:color w:val="000000"/>
                <w:sz w:val="18"/>
                <w:szCs w:val="18"/>
              </w:rPr>
            </w:pPr>
            <w:r w:rsidRPr="00FC698D">
              <w:rPr>
                <w:rFonts w:hint="eastAsia"/>
                <w:color w:val="000000"/>
                <w:sz w:val="18"/>
                <w:szCs w:val="18"/>
              </w:rPr>
              <w:t>186.29</w:t>
            </w:r>
          </w:p>
        </w:tc>
      </w:tr>
      <w:tr w:rsidR="00713D7C" w:rsidRPr="00094226" w:rsidTr="007C2266">
        <w:trPr>
          <w:trHeight w:val="340"/>
          <w:jc w:val="center"/>
        </w:trPr>
        <w:tc>
          <w:tcPr>
            <w:tcW w:w="2923" w:type="dxa"/>
            <w:shd w:val="clear" w:color="auto" w:fill="FFFFFF"/>
            <w:noWrap/>
            <w:vAlign w:val="center"/>
          </w:tcPr>
          <w:p w:rsidR="00713D7C" w:rsidRPr="00094226" w:rsidRDefault="00713D7C" w:rsidP="007C2266">
            <w:pPr>
              <w:widowControl/>
              <w:ind w:firstLineChars="50" w:firstLine="90"/>
              <w:jc w:val="right"/>
              <w:rPr>
                <w:color w:val="000000"/>
                <w:kern w:val="0"/>
                <w:sz w:val="18"/>
                <w:szCs w:val="18"/>
              </w:rPr>
            </w:pPr>
            <w:r w:rsidRPr="00094226">
              <w:rPr>
                <w:color w:val="000000"/>
                <w:kern w:val="0"/>
                <w:sz w:val="18"/>
                <w:szCs w:val="18"/>
              </w:rPr>
              <w:t>其中：政府性基金收入</w:t>
            </w:r>
          </w:p>
        </w:tc>
        <w:tc>
          <w:tcPr>
            <w:tcW w:w="1134" w:type="dxa"/>
            <w:shd w:val="clear" w:color="auto" w:fill="FFFFFF"/>
            <w:vAlign w:val="center"/>
          </w:tcPr>
          <w:p w:rsidR="00713D7C" w:rsidRPr="00094226" w:rsidRDefault="00713D7C" w:rsidP="007C2266">
            <w:pPr>
              <w:jc w:val="right"/>
              <w:rPr>
                <w:color w:val="000000"/>
                <w:sz w:val="18"/>
                <w:szCs w:val="18"/>
              </w:rPr>
            </w:pPr>
            <w:r w:rsidRPr="00094226">
              <w:rPr>
                <w:color w:val="000000"/>
                <w:sz w:val="18"/>
                <w:szCs w:val="18"/>
              </w:rPr>
              <w:t xml:space="preserve">5,018.10 </w:t>
            </w:r>
          </w:p>
        </w:tc>
        <w:tc>
          <w:tcPr>
            <w:tcW w:w="1134" w:type="dxa"/>
            <w:shd w:val="clear" w:color="auto" w:fill="FFFFFF"/>
            <w:vAlign w:val="center"/>
          </w:tcPr>
          <w:p w:rsidR="00713D7C" w:rsidRPr="00094226" w:rsidRDefault="00713D7C" w:rsidP="007C2266">
            <w:pPr>
              <w:jc w:val="right"/>
              <w:rPr>
                <w:color w:val="000000"/>
                <w:sz w:val="18"/>
                <w:szCs w:val="18"/>
              </w:rPr>
            </w:pPr>
            <w:r w:rsidRPr="00094226">
              <w:rPr>
                <w:color w:val="000000"/>
                <w:sz w:val="18"/>
                <w:szCs w:val="18"/>
              </w:rPr>
              <w:t xml:space="preserve">162.30 </w:t>
            </w:r>
          </w:p>
        </w:tc>
        <w:tc>
          <w:tcPr>
            <w:tcW w:w="1134" w:type="dxa"/>
            <w:shd w:val="clear" w:color="auto" w:fill="FFFFFF"/>
            <w:noWrap/>
          </w:tcPr>
          <w:p w:rsidR="00713D7C" w:rsidRPr="00865958" w:rsidRDefault="00713D7C" w:rsidP="007C2266">
            <w:pPr>
              <w:jc w:val="right"/>
              <w:rPr>
                <w:color w:val="000000"/>
                <w:sz w:val="18"/>
                <w:szCs w:val="18"/>
              </w:rPr>
            </w:pPr>
            <w:r w:rsidRPr="00865958">
              <w:rPr>
                <w:color w:val="000000"/>
                <w:sz w:val="18"/>
                <w:szCs w:val="18"/>
              </w:rPr>
              <w:t>5,416.86</w:t>
            </w:r>
          </w:p>
        </w:tc>
        <w:tc>
          <w:tcPr>
            <w:tcW w:w="992" w:type="dxa"/>
            <w:shd w:val="clear" w:color="auto" w:fill="FFFFFF"/>
          </w:tcPr>
          <w:p w:rsidR="00713D7C" w:rsidRPr="007A4245" w:rsidRDefault="00713D7C" w:rsidP="007C2266">
            <w:pPr>
              <w:jc w:val="right"/>
              <w:rPr>
                <w:color w:val="000000"/>
                <w:sz w:val="18"/>
                <w:szCs w:val="18"/>
              </w:rPr>
            </w:pPr>
            <w:r w:rsidRPr="007A4245">
              <w:rPr>
                <w:rFonts w:hint="eastAsia"/>
                <w:color w:val="000000"/>
                <w:sz w:val="18"/>
                <w:szCs w:val="18"/>
              </w:rPr>
              <w:t>160.99</w:t>
            </w:r>
          </w:p>
        </w:tc>
        <w:tc>
          <w:tcPr>
            <w:tcW w:w="1134" w:type="dxa"/>
            <w:shd w:val="clear" w:color="auto" w:fill="FFFFFF"/>
          </w:tcPr>
          <w:p w:rsidR="00713D7C" w:rsidRPr="00865958" w:rsidRDefault="00713D7C" w:rsidP="007C2266">
            <w:pPr>
              <w:jc w:val="right"/>
              <w:rPr>
                <w:color w:val="000000"/>
                <w:sz w:val="18"/>
                <w:szCs w:val="18"/>
              </w:rPr>
            </w:pPr>
            <w:r w:rsidRPr="003F44C4">
              <w:rPr>
                <w:color w:val="000000"/>
                <w:sz w:val="18"/>
                <w:szCs w:val="18"/>
              </w:rPr>
              <w:t>4</w:t>
            </w:r>
            <w:r>
              <w:rPr>
                <w:rFonts w:hint="eastAsia"/>
                <w:color w:val="000000"/>
                <w:sz w:val="18"/>
                <w:szCs w:val="18"/>
              </w:rPr>
              <w:t>,</w:t>
            </w:r>
            <w:r w:rsidRPr="003F44C4">
              <w:rPr>
                <w:color w:val="000000"/>
                <w:sz w:val="18"/>
                <w:szCs w:val="18"/>
              </w:rPr>
              <w:t>618.08</w:t>
            </w:r>
          </w:p>
        </w:tc>
        <w:tc>
          <w:tcPr>
            <w:tcW w:w="993" w:type="dxa"/>
            <w:shd w:val="clear" w:color="auto" w:fill="FFFFFF"/>
          </w:tcPr>
          <w:p w:rsidR="00713D7C" w:rsidRPr="007A4245" w:rsidRDefault="00713D7C" w:rsidP="007C2266">
            <w:pPr>
              <w:jc w:val="right"/>
              <w:rPr>
                <w:color w:val="000000"/>
                <w:sz w:val="18"/>
                <w:szCs w:val="18"/>
              </w:rPr>
            </w:pPr>
            <w:r w:rsidRPr="003F44C4">
              <w:rPr>
                <w:color w:val="000000"/>
                <w:sz w:val="18"/>
                <w:szCs w:val="18"/>
              </w:rPr>
              <w:t>171.8</w:t>
            </w:r>
            <w:r>
              <w:rPr>
                <w:rFonts w:hint="eastAsia"/>
                <w:color w:val="000000"/>
                <w:sz w:val="18"/>
                <w:szCs w:val="18"/>
              </w:rPr>
              <w:t>0</w:t>
            </w:r>
          </w:p>
        </w:tc>
      </w:tr>
      <w:tr w:rsidR="00713D7C" w:rsidRPr="00094226" w:rsidTr="007C2266">
        <w:trPr>
          <w:trHeight w:val="340"/>
          <w:jc w:val="center"/>
        </w:trPr>
        <w:tc>
          <w:tcPr>
            <w:tcW w:w="2923" w:type="dxa"/>
            <w:shd w:val="clear" w:color="auto" w:fill="D3EDFB"/>
            <w:noWrap/>
            <w:vAlign w:val="center"/>
          </w:tcPr>
          <w:p w:rsidR="00713D7C" w:rsidRPr="00094226" w:rsidRDefault="00713D7C" w:rsidP="007C2266">
            <w:pPr>
              <w:widowControl/>
              <w:rPr>
                <w:b/>
                <w:bCs/>
                <w:color w:val="000000"/>
                <w:kern w:val="0"/>
                <w:sz w:val="18"/>
                <w:szCs w:val="18"/>
              </w:rPr>
            </w:pPr>
            <w:r w:rsidRPr="00094226">
              <w:rPr>
                <w:b/>
                <w:bCs/>
                <w:color w:val="000000"/>
                <w:kern w:val="0"/>
                <w:sz w:val="18"/>
                <w:szCs w:val="18"/>
              </w:rPr>
              <w:t>人均综合财力（元）</w:t>
            </w:r>
          </w:p>
        </w:tc>
        <w:tc>
          <w:tcPr>
            <w:tcW w:w="2268" w:type="dxa"/>
            <w:gridSpan w:val="2"/>
            <w:shd w:val="clear" w:color="auto" w:fill="D3EDFB"/>
            <w:vAlign w:val="center"/>
          </w:tcPr>
          <w:p w:rsidR="00713D7C" w:rsidRPr="00094226" w:rsidRDefault="00713D7C" w:rsidP="007C2266">
            <w:pPr>
              <w:jc w:val="center"/>
              <w:rPr>
                <w:b/>
                <w:color w:val="000000"/>
                <w:sz w:val="18"/>
                <w:szCs w:val="18"/>
              </w:rPr>
            </w:pPr>
            <w:r w:rsidRPr="00094226">
              <w:rPr>
                <w:b/>
                <w:color w:val="000000"/>
                <w:sz w:val="18"/>
                <w:szCs w:val="18"/>
              </w:rPr>
              <w:t>17,140.68</w:t>
            </w:r>
          </w:p>
        </w:tc>
        <w:tc>
          <w:tcPr>
            <w:tcW w:w="2126" w:type="dxa"/>
            <w:gridSpan w:val="2"/>
            <w:shd w:val="clear" w:color="auto" w:fill="D3EDFB"/>
          </w:tcPr>
          <w:p w:rsidR="00713D7C" w:rsidRPr="00094226" w:rsidRDefault="00713D7C" w:rsidP="007C2266">
            <w:pPr>
              <w:jc w:val="center"/>
              <w:rPr>
                <w:b/>
                <w:color w:val="000000"/>
                <w:sz w:val="18"/>
                <w:szCs w:val="18"/>
              </w:rPr>
            </w:pPr>
            <w:r>
              <w:rPr>
                <w:rFonts w:hint="eastAsia"/>
                <w:b/>
                <w:color w:val="000000"/>
                <w:sz w:val="18"/>
                <w:szCs w:val="18"/>
              </w:rPr>
              <w:t>19,003.08</w:t>
            </w:r>
          </w:p>
        </w:tc>
        <w:tc>
          <w:tcPr>
            <w:tcW w:w="2127" w:type="dxa"/>
            <w:gridSpan w:val="2"/>
            <w:shd w:val="clear" w:color="auto" w:fill="D3EDFB"/>
          </w:tcPr>
          <w:p w:rsidR="00713D7C" w:rsidRPr="002628A2" w:rsidRDefault="00713D7C" w:rsidP="007C2266">
            <w:pPr>
              <w:jc w:val="center"/>
              <w:rPr>
                <w:b/>
                <w:color w:val="000000"/>
                <w:sz w:val="18"/>
                <w:szCs w:val="18"/>
                <w:highlight w:val="yellow"/>
              </w:rPr>
            </w:pPr>
            <w:r w:rsidRPr="009D6497">
              <w:rPr>
                <w:b/>
                <w:color w:val="000000"/>
                <w:sz w:val="18"/>
                <w:szCs w:val="18"/>
              </w:rPr>
              <w:t>19,341.39</w:t>
            </w:r>
          </w:p>
        </w:tc>
      </w:tr>
      <w:tr w:rsidR="00713D7C" w:rsidRPr="00094226" w:rsidTr="007C2266">
        <w:trPr>
          <w:trHeight w:val="340"/>
          <w:jc w:val="center"/>
        </w:trPr>
        <w:tc>
          <w:tcPr>
            <w:tcW w:w="2923" w:type="dxa"/>
            <w:shd w:val="clear" w:color="auto" w:fill="FFFFFF"/>
            <w:noWrap/>
            <w:vAlign w:val="center"/>
          </w:tcPr>
          <w:p w:rsidR="00713D7C" w:rsidRPr="00094226" w:rsidRDefault="00713D7C" w:rsidP="007C2266">
            <w:pPr>
              <w:widowControl/>
              <w:rPr>
                <w:b/>
                <w:bCs/>
                <w:color w:val="000000"/>
                <w:kern w:val="0"/>
                <w:sz w:val="18"/>
                <w:szCs w:val="18"/>
              </w:rPr>
            </w:pPr>
            <w:r w:rsidRPr="00094226">
              <w:rPr>
                <w:b/>
                <w:bCs/>
                <w:color w:val="000000"/>
                <w:kern w:val="0"/>
                <w:sz w:val="18"/>
                <w:szCs w:val="18"/>
              </w:rPr>
              <w:t>人均一般公共预算</w:t>
            </w:r>
            <w:r>
              <w:rPr>
                <w:rFonts w:hint="eastAsia"/>
                <w:b/>
                <w:bCs/>
                <w:color w:val="000000"/>
                <w:kern w:val="0"/>
                <w:sz w:val="18"/>
                <w:szCs w:val="18"/>
              </w:rPr>
              <w:t>财力</w:t>
            </w:r>
            <w:r w:rsidRPr="00094226">
              <w:rPr>
                <w:b/>
                <w:bCs/>
                <w:color w:val="000000"/>
                <w:kern w:val="0"/>
                <w:sz w:val="18"/>
                <w:szCs w:val="18"/>
              </w:rPr>
              <w:t>（元）</w:t>
            </w:r>
          </w:p>
        </w:tc>
        <w:tc>
          <w:tcPr>
            <w:tcW w:w="2268" w:type="dxa"/>
            <w:gridSpan w:val="2"/>
            <w:shd w:val="clear" w:color="auto" w:fill="FFFFFF"/>
            <w:vAlign w:val="center"/>
          </w:tcPr>
          <w:p w:rsidR="00713D7C" w:rsidRPr="00094226" w:rsidRDefault="00713D7C" w:rsidP="007C2266">
            <w:pPr>
              <w:jc w:val="center"/>
              <w:rPr>
                <w:b/>
                <w:color w:val="000000"/>
                <w:sz w:val="18"/>
                <w:szCs w:val="18"/>
              </w:rPr>
            </w:pPr>
            <w:r>
              <w:rPr>
                <w:rFonts w:hint="eastAsia"/>
                <w:b/>
                <w:color w:val="000000"/>
                <w:sz w:val="18"/>
                <w:szCs w:val="18"/>
              </w:rPr>
              <w:t>9,992.67</w:t>
            </w:r>
          </w:p>
        </w:tc>
        <w:tc>
          <w:tcPr>
            <w:tcW w:w="2126" w:type="dxa"/>
            <w:gridSpan w:val="2"/>
            <w:shd w:val="clear" w:color="auto" w:fill="FFFFFF"/>
          </w:tcPr>
          <w:p w:rsidR="00713D7C" w:rsidRPr="00094226" w:rsidRDefault="00713D7C" w:rsidP="007C2266">
            <w:pPr>
              <w:jc w:val="center"/>
              <w:rPr>
                <w:b/>
                <w:color w:val="000000"/>
                <w:sz w:val="18"/>
                <w:szCs w:val="18"/>
              </w:rPr>
            </w:pPr>
            <w:r>
              <w:rPr>
                <w:rFonts w:hint="eastAsia"/>
                <w:b/>
                <w:color w:val="000000"/>
                <w:sz w:val="18"/>
                <w:szCs w:val="18"/>
              </w:rPr>
              <w:t>11,311.96</w:t>
            </w:r>
          </w:p>
        </w:tc>
        <w:tc>
          <w:tcPr>
            <w:tcW w:w="2127" w:type="dxa"/>
            <w:gridSpan w:val="2"/>
            <w:shd w:val="clear" w:color="auto" w:fill="FFFFFF"/>
          </w:tcPr>
          <w:p w:rsidR="00713D7C" w:rsidRPr="002628A2" w:rsidRDefault="00713D7C" w:rsidP="007C2266">
            <w:pPr>
              <w:jc w:val="center"/>
              <w:rPr>
                <w:b/>
                <w:color w:val="000000"/>
                <w:sz w:val="18"/>
                <w:szCs w:val="18"/>
                <w:highlight w:val="yellow"/>
              </w:rPr>
            </w:pPr>
            <w:r w:rsidRPr="009D6497">
              <w:rPr>
                <w:b/>
                <w:color w:val="000000"/>
                <w:sz w:val="18"/>
                <w:szCs w:val="18"/>
              </w:rPr>
              <w:t>12,732.04</w:t>
            </w:r>
          </w:p>
        </w:tc>
      </w:tr>
    </w:tbl>
    <w:p w:rsidR="00713D7C" w:rsidRDefault="00713D7C" w:rsidP="0086308A">
      <w:pPr>
        <w:spacing w:line="240" w:lineRule="exact"/>
        <w:rPr>
          <w:rFonts w:eastAsia="黑体"/>
          <w:sz w:val="15"/>
          <w:szCs w:val="15"/>
        </w:rPr>
      </w:pPr>
      <w:r w:rsidRPr="00094226">
        <w:rPr>
          <w:rFonts w:eastAsia="黑体"/>
          <w:sz w:val="15"/>
          <w:szCs w:val="15"/>
        </w:rPr>
        <w:t>注：综合财力</w:t>
      </w:r>
      <w:r w:rsidRPr="00094226">
        <w:rPr>
          <w:rFonts w:eastAsia="黑体"/>
          <w:sz w:val="15"/>
          <w:szCs w:val="15"/>
        </w:rPr>
        <w:t>=</w:t>
      </w:r>
      <w:r w:rsidRPr="00094226">
        <w:rPr>
          <w:rFonts w:eastAsia="黑体"/>
          <w:sz w:val="15"/>
          <w:szCs w:val="15"/>
        </w:rPr>
        <w:t>一般公共预算财力</w:t>
      </w:r>
      <w:r w:rsidRPr="00094226">
        <w:rPr>
          <w:rFonts w:eastAsia="黑体"/>
          <w:sz w:val="15"/>
          <w:szCs w:val="15"/>
        </w:rPr>
        <w:t>+</w:t>
      </w:r>
      <w:r w:rsidRPr="00094226">
        <w:rPr>
          <w:rFonts w:eastAsia="黑体"/>
          <w:sz w:val="15"/>
          <w:szCs w:val="15"/>
        </w:rPr>
        <w:t>政府性基金财力</w:t>
      </w:r>
      <w:r>
        <w:rPr>
          <w:rFonts w:eastAsia="黑体" w:hint="eastAsia"/>
          <w:sz w:val="15"/>
          <w:szCs w:val="15"/>
        </w:rPr>
        <w:t>；</w:t>
      </w:r>
      <w:r w:rsidDel="00162764">
        <w:rPr>
          <w:rFonts w:eastAsia="黑体" w:hint="eastAsia"/>
          <w:sz w:val="15"/>
          <w:szCs w:val="15"/>
        </w:rPr>
        <w:t xml:space="preserve"> </w:t>
      </w:r>
    </w:p>
    <w:p w:rsidR="00713D7C" w:rsidRDefault="00713D7C" w:rsidP="0086308A">
      <w:pPr>
        <w:spacing w:line="240" w:lineRule="exact"/>
        <w:rPr>
          <w:rFonts w:eastAsia="黑体"/>
          <w:sz w:val="15"/>
          <w:szCs w:val="15"/>
        </w:rPr>
      </w:pPr>
      <w:r w:rsidRPr="00CB3B8B">
        <w:rPr>
          <w:rFonts w:eastAsia="黑体" w:hint="eastAsia"/>
          <w:sz w:val="15"/>
          <w:szCs w:val="15"/>
        </w:rPr>
        <w:t>一般公共预算财力</w:t>
      </w:r>
      <w:r w:rsidRPr="00CB3B8B">
        <w:rPr>
          <w:rFonts w:eastAsia="黑体" w:hint="eastAsia"/>
          <w:sz w:val="15"/>
          <w:szCs w:val="15"/>
        </w:rPr>
        <w:t>=</w:t>
      </w:r>
      <w:r w:rsidRPr="00CB3B8B">
        <w:rPr>
          <w:rFonts w:eastAsia="黑体" w:hint="eastAsia"/>
          <w:sz w:val="15"/>
          <w:szCs w:val="15"/>
        </w:rPr>
        <w:t>一般公共预算收入</w:t>
      </w:r>
      <w:r w:rsidRPr="00CB3B8B">
        <w:rPr>
          <w:rFonts w:eastAsia="黑体" w:hint="eastAsia"/>
          <w:sz w:val="15"/>
          <w:szCs w:val="15"/>
        </w:rPr>
        <w:t>+</w:t>
      </w:r>
      <w:r w:rsidRPr="00CB3B8B">
        <w:rPr>
          <w:rFonts w:eastAsia="黑体" w:hint="eastAsia"/>
          <w:sz w:val="15"/>
          <w:szCs w:val="15"/>
        </w:rPr>
        <w:t>（上级补助收入</w:t>
      </w:r>
      <w:r w:rsidRPr="00CB3B8B">
        <w:rPr>
          <w:rFonts w:eastAsia="黑体" w:hint="eastAsia"/>
          <w:sz w:val="15"/>
          <w:szCs w:val="15"/>
        </w:rPr>
        <w:t>-</w:t>
      </w:r>
      <w:r w:rsidRPr="00CB3B8B">
        <w:rPr>
          <w:rFonts w:eastAsia="黑体" w:hint="eastAsia"/>
          <w:sz w:val="15"/>
          <w:szCs w:val="15"/>
        </w:rPr>
        <w:t>补助下级支出）</w:t>
      </w:r>
      <w:r w:rsidRPr="00CB3B8B">
        <w:rPr>
          <w:rFonts w:eastAsia="黑体" w:hint="eastAsia"/>
          <w:sz w:val="15"/>
          <w:szCs w:val="15"/>
        </w:rPr>
        <w:t>+</w:t>
      </w:r>
      <w:r w:rsidRPr="00CB3B8B">
        <w:rPr>
          <w:rFonts w:eastAsia="黑体" w:hint="eastAsia"/>
          <w:sz w:val="15"/>
          <w:szCs w:val="15"/>
        </w:rPr>
        <w:t>（下级上解收入</w:t>
      </w:r>
      <w:r w:rsidRPr="00CB3B8B">
        <w:rPr>
          <w:rFonts w:eastAsia="黑体" w:hint="eastAsia"/>
          <w:sz w:val="15"/>
          <w:szCs w:val="15"/>
        </w:rPr>
        <w:t>-</w:t>
      </w:r>
      <w:r w:rsidRPr="00CB3B8B">
        <w:rPr>
          <w:rFonts w:eastAsia="黑体" w:hint="eastAsia"/>
          <w:sz w:val="15"/>
          <w:szCs w:val="15"/>
        </w:rPr>
        <w:t>上解上级支出）</w:t>
      </w:r>
      <w:r w:rsidRPr="00CB3B8B">
        <w:rPr>
          <w:rFonts w:eastAsia="黑体" w:hint="eastAsia"/>
          <w:sz w:val="15"/>
          <w:szCs w:val="15"/>
        </w:rPr>
        <w:t>+</w:t>
      </w:r>
      <w:r w:rsidRPr="00CB3B8B">
        <w:rPr>
          <w:rFonts w:eastAsia="黑体" w:hint="eastAsia"/>
          <w:sz w:val="15"/>
          <w:szCs w:val="15"/>
        </w:rPr>
        <w:t>其他（上年净结余</w:t>
      </w:r>
      <w:r w:rsidRPr="00CB3B8B">
        <w:rPr>
          <w:rFonts w:eastAsia="黑体" w:hint="eastAsia"/>
          <w:sz w:val="15"/>
          <w:szCs w:val="15"/>
        </w:rPr>
        <w:t>+</w:t>
      </w:r>
      <w:r w:rsidRPr="00CB3B8B">
        <w:rPr>
          <w:rFonts w:eastAsia="黑体" w:hint="eastAsia"/>
          <w:sz w:val="15"/>
          <w:szCs w:val="15"/>
        </w:rPr>
        <w:t>调入预算稳定调节基金</w:t>
      </w:r>
      <w:r w:rsidRPr="00CB3B8B">
        <w:rPr>
          <w:rFonts w:eastAsia="黑体" w:hint="eastAsia"/>
          <w:sz w:val="15"/>
          <w:szCs w:val="15"/>
        </w:rPr>
        <w:t>+</w:t>
      </w:r>
      <w:r w:rsidRPr="00CB3B8B">
        <w:rPr>
          <w:rFonts w:eastAsia="黑体" w:hint="eastAsia"/>
          <w:sz w:val="15"/>
          <w:szCs w:val="15"/>
        </w:rPr>
        <w:t>其他调入资金</w:t>
      </w:r>
      <w:r w:rsidRPr="00CB3B8B">
        <w:rPr>
          <w:rFonts w:eastAsia="黑体" w:hint="eastAsia"/>
          <w:sz w:val="15"/>
          <w:szCs w:val="15"/>
        </w:rPr>
        <w:t>+</w:t>
      </w:r>
      <w:r w:rsidRPr="00CB3B8B">
        <w:rPr>
          <w:rFonts w:eastAsia="黑体" w:hint="eastAsia"/>
          <w:sz w:val="15"/>
          <w:szCs w:val="15"/>
        </w:rPr>
        <w:t>预算稳定调节基金年末余额）</w:t>
      </w:r>
    </w:p>
    <w:p w:rsidR="00713D7C" w:rsidRPr="005C28CA" w:rsidRDefault="00713D7C" w:rsidP="0086308A">
      <w:pPr>
        <w:spacing w:line="240" w:lineRule="exact"/>
        <w:rPr>
          <w:rFonts w:eastAsia="黑体"/>
          <w:sz w:val="15"/>
          <w:szCs w:val="15"/>
        </w:rPr>
      </w:pPr>
      <w:r w:rsidRPr="00CB3B8B">
        <w:rPr>
          <w:rFonts w:eastAsia="黑体" w:hint="eastAsia"/>
          <w:sz w:val="15"/>
          <w:szCs w:val="15"/>
        </w:rPr>
        <w:t>政府性基金预算财力</w:t>
      </w:r>
      <w:r w:rsidRPr="00CB3B8B">
        <w:rPr>
          <w:rFonts w:eastAsia="黑体" w:hint="eastAsia"/>
          <w:sz w:val="15"/>
          <w:szCs w:val="15"/>
        </w:rPr>
        <w:t>=</w:t>
      </w:r>
      <w:r w:rsidRPr="00CB3B8B">
        <w:rPr>
          <w:rFonts w:eastAsia="黑体" w:hint="eastAsia"/>
          <w:sz w:val="15"/>
          <w:szCs w:val="15"/>
        </w:rPr>
        <w:t>政府性基</w:t>
      </w:r>
      <w:r w:rsidRPr="005C28CA">
        <w:rPr>
          <w:rFonts w:eastAsia="黑体" w:hint="eastAsia"/>
          <w:sz w:val="15"/>
          <w:szCs w:val="15"/>
        </w:rPr>
        <w:t>金收入</w:t>
      </w:r>
      <w:r w:rsidRPr="005C28CA">
        <w:rPr>
          <w:rFonts w:eastAsia="黑体" w:hint="eastAsia"/>
          <w:sz w:val="15"/>
          <w:szCs w:val="15"/>
        </w:rPr>
        <w:t>+</w:t>
      </w:r>
      <w:r w:rsidRPr="005C28CA">
        <w:rPr>
          <w:rFonts w:eastAsia="黑体" w:hint="eastAsia"/>
          <w:sz w:val="15"/>
          <w:szCs w:val="15"/>
        </w:rPr>
        <w:t>（上级补助收入</w:t>
      </w:r>
      <w:r w:rsidRPr="005C28CA">
        <w:rPr>
          <w:rFonts w:eastAsia="黑体" w:hint="eastAsia"/>
          <w:sz w:val="15"/>
          <w:szCs w:val="15"/>
        </w:rPr>
        <w:t>-</w:t>
      </w:r>
      <w:r w:rsidRPr="005C28CA">
        <w:rPr>
          <w:rFonts w:eastAsia="黑体" w:hint="eastAsia"/>
          <w:sz w:val="15"/>
          <w:szCs w:val="15"/>
        </w:rPr>
        <w:t>补助下级支出）</w:t>
      </w:r>
      <w:r w:rsidRPr="005C28CA">
        <w:rPr>
          <w:rFonts w:eastAsia="黑体" w:hint="eastAsia"/>
          <w:sz w:val="15"/>
          <w:szCs w:val="15"/>
        </w:rPr>
        <w:t>+</w:t>
      </w:r>
      <w:r w:rsidRPr="005C28CA">
        <w:rPr>
          <w:rFonts w:eastAsia="黑体" w:hint="eastAsia"/>
          <w:sz w:val="15"/>
          <w:szCs w:val="15"/>
        </w:rPr>
        <w:t>其他（上年结余</w:t>
      </w:r>
      <w:r w:rsidRPr="005C28CA">
        <w:rPr>
          <w:rFonts w:eastAsia="黑体" w:hint="eastAsia"/>
          <w:sz w:val="15"/>
          <w:szCs w:val="15"/>
        </w:rPr>
        <w:t>+</w:t>
      </w:r>
      <w:r w:rsidRPr="005C28CA">
        <w:rPr>
          <w:rFonts w:eastAsia="黑体" w:hint="eastAsia"/>
          <w:sz w:val="15"/>
          <w:szCs w:val="15"/>
        </w:rPr>
        <w:t>其他调入</w:t>
      </w:r>
      <w:r w:rsidRPr="005C28CA">
        <w:rPr>
          <w:rFonts w:eastAsia="黑体" w:hint="eastAsia"/>
          <w:sz w:val="15"/>
          <w:szCs w:val="15"/>
        </w:rPr>
        <w:t>-</w:t>
      </w:r>
      <w:r w:rsidRPr="005C28CA">
        <w:rPr>
          <w:rFonts w:eastAsia="黑体" w:hint="eastAsia"/>
          <w:sz w:val="15"/>
          <w:szCs w:val="15"/>
        </w:rPr>
        <w:t>调出资金）</w:t>
      </w:r>
    </w:p>
    <w:p w:rsidR="00713D7C" w:rsidRPr="000A0937" w:rsidRDefault="00713D7C" w:rsidP="0086308A">
      <w:pPr>
        <w:widowControl/>
        <w:tabs>
          <w:tab w:val="num" w:pos="426"/>
        </w:tabs>
        <w:spacing w:afterLines="50" w:after="156" w:line="240" w:lineRule="exact"/>
        <w:rPr>
          <w:rFonts w:eastAsia="黑体"/>
          <w:sz w:val="15"/>
          <w:szCs w:val="15"/>
        </w:rPr>
      </w:pPr>
      <w:r w:rsidRPr="00094226">
        <w:rPr>
          <w:rFonts w:eastAsia="黑体"/>
          <w:sz w:val="15"/>
          <w:szCs w:val="15"/>
        </w:rPr>
        <w:t>资料来源：江苏省财政厅提供，江苏省财政收支决算表，</w:t>
      </w:r>
      <w:r>
        <w:rPr>
          <w:rFonts w:eastAsia="黑体" w:hint="eastAsia"/>
          <w:sz w:val="15"/>
          <w:szCs w:val="15"/>
        </w:rPr>
        <w:t>中债资信整理</w:t>
      </w:r>
    </w:p>
    <w:p w:rsidR="00486F91" w:rsidRPr="00094226" w:rsidRDefault="00486F91" w:rsidP="00486F91">
      <w:pPr>
        <w:spacing w:line="300" w:lineRule="auto"/>
        <w:ind w:firstLineChars="202" w:firstLine="426"/>
      </w:pPr>
      <w:r w:rsidRPr="00094226">
        <w:rPr>
          <w:b/>
        </w:rPr>
        <w:t>一般公共预算支出中民生支出逐年增加，基金支出存在波动，但弹性较大。</w:t>
      </w:r>
      <w:r w:rsidRPr="00094226">
        <w:t>201</w:t>
      </w:r>
      <w:r>
        <w:rPr>
          <w:rFonts w:hint="eastAsia"/>
        </w:rPr>
        <w:t>5</w:t>
      </w:r>
      <w:r w:rsidRPr="00094226">
        <w:t>年江苏全省民生支出占一般公共预算支出比重超过</w:t>
      </w:r>
      <w:r w:rsidRPr="00094226">
        <w:t>75%</w:t>
      </w:r>
      <w:r w:rsidRPr="00094226">
        <w:t>，省</w:t>
      </w:r>
      <w:r w:rsidRPr="00814290">
        <w:t>级财政民生支出占比达</w:t>
      </w:r>
      <w:r w:rsidRPr="00814290">
        <w:t>80%</w:t>
      </w:r>
      <w:r w:rsidRPr="000F547B">
        <w:t>。</w:t>
      </w:r>
      <w:r w:rsidRPr="000F547B">
        <w:t>201</w:t>
      </w:r>
      <w:r>
        <w:rPr>
          <w:rFonts w:hint="eastAsia"/>
        </w:rPr>
        <w:t>5</w:t>
      </w:r>
      <w:r w:rsidRPr="000F547B">
        <w:t>年一般公共服务支出和公共安全支出分别为</w:t>
      </w:r>
      <w:r>
        <w:rPr>
          <w:rFonts w:hint="eastAsia"/>
        </w:rPr>
        <w:t>867.73</w:t>
      </w:r>
      <w:r w:rsidRPr="00036918">
        <w:t>亿元</w:t>
      </w:r>
      <w:r w:rsidRPr="00814290">
        <w:t>和</w:t>
      </w:r>
      <w:r>
        <w:rPr>
          <w:rFonts w:hint="eastAsia"/>
        </w:rPr>
        <w:t>516.99</w:t>
      </w:r>
      <w:r w:rsidRPr="00814290">
        <w:t>亿元，同比分别增长</w:t>
      </w:r>
      <w:r>
        <w:rPr>
          <w:rFonts w:hint="eastAsia"/>
        </w:rPr>
        <w:t>1.3</w:t>
      </w:r>
      <w:r w:rsidRPr="00814290">
        <w:t>0%</w:t>
      </w:r>
      <w:r w:rsidRPr="00814290">
        <w:t>和</w:t>
      </w:r>
      <w:r>
        <w:rPr>
          <w:rFonts w:hint="eastAsia"/>
        </w:rPr>
        <w:t>9.1</w:t>
      </w:r>
      <w:r w:rsidRPr="00814290">
        <w:rPr>
          <w:rFonts w:hint="eastAsia"/>
        </w:rPr>
        <w:t>0</w:t>
      </w:r>
      <w:r w:rsidRPr="00814290">
        <w:t>%</w:t>
      </w:r>
      <w:r w:rsidRPr="00814290">
        <w:t>，在</w:t>
      </w:r>
      <w:r w:rsidRPr="00814290">
        <w:rPr>
          <w:rFonts w:hint="eastAsia"/>
        </w:rPr>
        <w:t>一般公共预算</w:t>
      </w:r>
      <w:r w:rsidRPr="00814290">
        <w:t>支出中占比呈下降趋势；江苏省仍着力推进城乡一体化发展，</w:t>
      </w:r>
      <w:r w:rsidRPr="00814290">
        <w:t>201</w:t>
      </w:r>
      <w:r>
        <w:rPr>
          <w:rFonts w:hint="eastAsia"/>
        </w:rPr>
        <w:t>5</w:t>
      </w:r>
      <w:r w:rsidRPr="00814290">
        <w:t>年城乡社区</w:t>
      </w:r>
      <w:r w:rsidRPr="00814290">
        <w:rPr>
          <w:rFonts w:hint="eastAsia"/>
        </w:rPr>
        <w:t>支出</w:t>
      </w:r>
      <w:r w:rsidRPr="00814290">
        <w:t>、农林水</w:t>
      </w:r>
      <w:r w:rsidRPr="00814290">
        <w:rPr>
          <w:rFonts w:hint="eastAsia"/>
        </w:rPr>
        <w:t>支出</w:t>
      </w:r>
      <w:r w:rsidRPr="00814290">
        <w:t>和交通运输支出分别增长</w:t>
      </w:r>
      <w:r>
        <w:rPr>
          <w:rFonts w:hint="eastAsia"/>
        </w:rPr>
        <w:t>24.30</w:t>
      </w:r>
      <w:r w:rsidRPr="00814290">
        <w:t>%</w:t>
      </w:r>
      <w:r w:rsidRPr="00814290">
        <w:rPr>
          <w:rFonts w:hint="eastAsia"/>
        </w:rPr>
        <w:t>、</w:t>
      </w:r>
      <w:r>
        <w:rPr>
          <w:rFonts w:hint="eastAsia"/>
        </w:rPr>
        <w:t>13.00</w:t>
      </w:r>
      <w:r w:rsidRPr="00814290">
        <w:t>%</w:t>
      </w:r>
      <w:r w:rsidRPr="00814290">
        <w:rPr>
          <w:rFonts w:hint="eastAsia"/>
        </w:rPr>
        <w:t>和</w:t>
      </w:r>
      <w:r>
        <w:rPr>
          <w:rFonts w:hint="eastAsia"/>
        </w:rPr>
        <w:t>11.60</w:t>
      </w:r>
      <w:r w:rsidRPr="00814290">
        <w:t>%</w:t>
      </w:r>
      <w:r w:rsidRPr="00814290">
        <w:t>。</w:t>
      </w:r>
      <w:r w:rsidRPr="00814290">
        <w:rPr>
          <w:bCs/>
        </w:rPr>
        <w:t>江苏全省政府性基金收入约</w:t>
      </w:r>
      <w:r w:rsidRPr="00814290">
        <w:rPr>
          <w:bCs/>
        </w:rPr>
        <w:t>8</w:t>
      </w:r>
      <w:r>
        <w:rPr>
          <w:rFonts w:hint="eastAsia"/>
          <w:bCs/>
        </w:rPr>
        <w:t>7</w:t>
      </w:r>
      <w:r w:rsidRPr="00814290">
        <w:rPr>
          <w:bCs/>
        </w:rPr>
        <w:t>%</w:t>
      </w:r>
      <w:r w:rsidRPr="00814290">
        <w:rPr>
          <w:bCs/>
        </w:rPr>
        <w:t>来自国有土地使用权出让收入，扣除按照</w:t>
      </w:r>
      <w:r w:rsidRPr="00814290">
        <w:t>国家相关管理办法规定的国有土地使用权出</w:t>
      </w:r>
      <w:r w:rsidRPr="00094226">
        <w:t>让收益在农业土地开发、保障房、农田水利和教</w:t>
      </w:r>
      <w:r w:rsidRPr="00FB0BC3">
        <w:t>育资金等刚性计提</w:t>
      </w:r>
      <w:r w:rsidRPr="00FB0BC3">
        <w:rPr>
          <w:vertAlign w:val="superscript"/>
        </w:rPr>
        <w:footnoteReference w:id="5"/>
      </w:r>
      <w:r w:rsidRPr="00FB0BC3">
        <w:t>后，仍保持较大规模土地出让净收益，政府性基金支出弹性较大。</w:t>
      </w:r>
      <w:r w:rsidRPr="00FB0BC3">
        <w:rPr>
          <w:b/>
        </w:rPr>
        <w:t>财政收支保持平衡。</w:t>
      </w:r>
      <w:r w:rsidRPr="00FB0BC3">
        <w:rPr>
          <w:bCs/>
        </w:rPr>
        <w:t>2012~2014</w:t>
      </w:r>
      <w:r w:rsidRPr="00FB0BC3">
        <w:rPr>
          <w:bCs/>
        </w:rPr>
        <w:t>年江苏全省一般公共预算</w:t>
      </w:r>
      <w:r w:rsidRPr="00FB0BC3">
        <w:rPr>
          <w:rFonts w:hint="eastAsia"/>
          <w:bCs/>
        </w:rPr>
        <w:t>净结余分别为</w:t>
      </w:r>
      <w:r w:rsidRPr="00FB0BC3">
        <w:rPr>
          <w:bCs/>
        </w:rPr>
        <w:t>79.74</w:t>
      </w:r>
      <w:r w:rsidRPr="00FB0BC3">
        <w:rPr>
          <w:rFonts w:hint="eastAsia"/>
          <w:bCs/>
        </w:rPr>
        <w:t>亿元、</w:t>
      </w:r>
      <w:r w:rsidRPr="00FB0BC3">
        <w:rPr>
          <w:bCs/>
        </w:rPr>
        <w:t>102.36</w:t>
      </w:r>
      <w:r w:rsidRPr="00FB0BC3">
        <w:rPr>
          <w:rFonts w:hint="eastAsia"/>
          <w:bCs/>
        </w:rPr>
        <w:t>亿元和</w:t>
      </w:r>
      <w:r w:rsidRPr="00FB0BC3">
        <w:rPr>
          <w:bCs/>
        </w:rPr>
        <w:t>128.26</w:t>
      </w:r>
      <w:r w:rsidRPr="00FB0BC3">
        <w:rPr>
          <w:rFonts w:hint="eastAsia"/>
          <w:bCs/>
        </w:rPr>
        <w:t>亿元</w:t>
      </w:r>
      <w:r w:rsidRPr="00FB0BC3">
        <w:rPr>
          <w:bCs/>
        </w:rPr>
        <w:t>，</w:t>
      </w:r>
      <w:r w:rsidR="00B9486B" w:rsidRPr="00B9486B">
        <w:rPr>
          <w:bCs/>
        </w:rPr>
        <w:t>2012~2014</w:t>
      </w:r>
      <w:r w:rsidR="00B9486B" w:rsidRPr="00B9486B">
        <w:rPr>
          <w:bCs/>
        </w:rPr>
        <w:t>年江苏全省政府性基金年终结余分别为</w:t>
      </w:r>
      <w:r w:rsidR="00B9486B" w:rsidRPr="00B9486B">
        <w:rPr>
          <w:bCs/>
        </w:rPr>
        <w:t>572</w:t>
      </w:r>
      <w:r w:rsidR="00B9486B" w:rsidRPr="00B9486B">
        <w:rPr>
          <w:rFonts w:hint="eastAsia"/>
          <w:bCs/>
        </w:rPr>
        <w:t>.23</w:t>
      </w:r>
      <w:r w:rsidR="00B9486B" w:rsidRPr="00B9486B">
        <w:rPr>
          <w:rFonts w:hint="eastAsia"/>
          <w:bCs/>
        </w:rPr>
        <w:t>亿元、</w:t>
      </w:r>
      <w:r w:rsidR="00B9486B" w:rsidRPr="00B9486B">
        <w:rPr>
          <w:bCs/>
        </w:rPr>
        <w:t>6</w:t>
      </w:r>
      <w:r w:rsidR="00B9486B" w:rsidRPr="00B9486B">
        <w:rPr>
          <w:rFonts w:hint="eastAsia"/>
          <w:bCs/>
        </w:rPr>
        <w:t>38.38</w:t>
      </w:r>
      <w:r w:rsidR="00B9486B" w:rsidRPr="00B9486B">
        <w:rPr>
          <w:rFonts w:hint="eastAsia"/>
          <w:bCs/>
        </w:rPr>
        <w:t>亿元</w:t>
      </w:r>
      <w:r w:rsidRPr="00FB0BC3">
        <w:rPr>
          <w:rFonts w:hint="eastAsia"/>
          <w:bCs/>
        </w:rPr>
        <w:t>和</w:t>
      </w:r>
      <w:r w:rsidRPr="00FB0BC3">
        <w:rPr>
          <w:bCs/>
        </w:rPr>
        <w:t>800.45</w:t>
      </w:r>
      <w:r w:rsidRPr="00FB0BC3">
        <w:rPr>
          <w:rFonts w:hint="eastAsia"/>
          <w:bCs/>
        </w:rPr>
        <w:t>亿元</w:t>
      </w:r>
      <w:r w:rsidRPr="00FB0BC3">
        <w:rPr>
          <w:bCs/>
        </w:rPr>
        <w:t>，主要为</w:t>
      </w:r>
      <w:r w:rsidRPr="00094226">
        <w:rPr>
          <w:bCs/>
        </w:rPr>
        <w:t>结转下年支出，整体上财政收支保持平衡。</w:t>
      </w:r>
    </w:p>
    <w:p w:rsidR="00486F91" w:rsidRPr="002C764B" w:rsidRDefault="00486F91" w:rsidP="00486F91">
      <w:pPr>
        <w:spacing w:beforeLines="50" w:before="156" w:afterLines="50" w:after="156"/>
      </w:pPr>
      <w:r w:rsidRPr="00094226">
        <w:rPr>
          <w:rFonts w:eastAsia="黑体"/>
          <w:b/>
          <w:szCs w:val="21"/>
        </w:rPr>
        <w:t>江苏省</w:t>
      </w:r>
      <w:r w:rsidRPr="00ED2742">
        <w:rPr>
          <w:rFonts w:eastAsia="黑体" w:hint="eastAsia"/>
          <w:b/>
          <w:szCs w:val="21"/>
        </w:rPr>
        <w:t>政府债务</w:t>
      </w:r>
      <w:r>
        <w:rPr>
          <w:rFonts w:eastAsia="黑体" w:hint="eastAsia"/>
          <w:b/>
          <w:szCs w:val="21"/>
        </w:rPr>
        <w:t>小幅下降，</w:t>
      </w:r>
      <w:r w:rsidRPr="00ED2742">
        <w:rPr>
          <w:rFonts w:eastAsia="黑体" w:hint="eastAsia"/>
          <w:b/>
          <w:szCs w:val="21"/>
        </w:rPr>
        <w:t>或有债务</w:t>
      </w:r>
      <w:r w:rsidRPr="00DA47A6">
        <w:rPr>
          <w:rFonts w:eastAsia="黑体" w:hint="eastAsia"/>
          <w:b/>
          <w:szCs w:val="21"/>
        </w:rPr>
        <w:t>增速平缓</w:t>
      </w:r>
      <w:r w:rsidRPr="00094226">
        <w:rPr>
          <w:rFonts w:eastAsia="黑体"/>
          <w:b/>
          <w:szCs w:val="21"/>
        </w:rPr>
        <w:t>，债务指标表现较好，同时拥有较大规模国有资产和上市公司股权，可增加其流动性，债务风险可控</w:t>
      </w:r>
    </w:p>
    <w:p w:rsidR="00486F91" w:rsidRPr="002C764B" w:rsidRDefault="00486F91" w:rsidP="00486F91">
      <w:pPr>
        <w:spacing w:line="300" w:lineRule="auto"/>
        <w:ind w:firstLineChars="202" w:firstLine="426"/>
      </w:pPr>
      <w:r w:rsidRPr="00F66843">
        <w:rPr>
          <w:rFonts w:hint="eastAsia"/>
          <w:b/>
        </w:rPr>
        <w:t>近年来，江苏省</w:t>
      </w:r>
      <w:r>
        <w:rPr>
          <w:rFonts w:hint="eastAsia"/>
          <w:b/>
        </w:rPr>
        <w:t>政府债务</w:t>
      </w:r>
      <w:r w:rsidRPr="00DA47A6">
        <w:rPr>
          <w:rFonts w:hint="eastAsia"/>
          <w:b/>
        </w:rPr>
        <w:t>小幅下降，或有债务增速平缓</w:t>
      </w:r>
      <w:r w:rsidRPr="00F66843">
        <w:rPr>
          <w:rFonts w:hint="eastAsia"/>
          <w:b/>
        </w:rPr>
        <w:t>。</w:t>
      </w:r>
      <w:r w:rsidRPr="002F1860">
        <w:rPr>
          <w:rFonts w:hint="eastAsia"/>
        </w:rPr>
        <w:t>截至</w:t>
      </w:r>
      <w:r w:rsidRPr="002F1860">
        <w:t>201</w:t>
      </w:r>
      <w:r>
        <w:rPr>
          <w:rFonts w:hint="eastAsia"/>
        </w:rPr>
        <w:t>5</w:t>
      </w:r>
      <w:r w:rsidRPr="002F1860">
        <w:rPr>
          <w:rFonts w:hint="eastAsia"/>
        </w:rPr>
        <w:t>年</w:t>
      </w:r>
      <w:r>
        <w:rPr>
          <w:rFonts w:hint="eastAsia"/>
        </w:rPr>
        <w:t>末</w:t>
      </w:r>
      <w:r w:rsidRPr="002F1860">
        <w:rPr>
          <w:rFonts w:hint="eastAsia"/>
        </w:rPr>
        <w:t>江苏省政府债务</w:t>
      </w:r>
      <w:r>
        <w:rPr>
          <w:rFonts w:hint="eastAsia"/>
        </w:rPr>
        <w:t>余额</w:t>
      </w:r>
      <w:r w:rsidRPr="002F1860">
        <w:rPr>
          <w:rFonts w:hint="eastAsia"/>
        </w:rPr>
        <w:t>为</w:t>
      </w:r>
      <w:r w:rsidRPr="00947F3E">
        <w:rPr>
          <w:rFonts w:hint="eastAsia"/>
        </w:rPr>
        <w:t>10</w:t>
      </w:r>
      <w:r>
        <w:rPr>
          <w:rFonts w:hint="eastAsia"/>
        </w:rPr>
        <w:t>,</w:t>
      </w:r>
      <w:r w:rsidRPr="00947F3E">
        <w:rPr>
          <w:rFonts w:hint="eastAsia"/>
        </w:rPr>
        <w:t>556.26</w:t>
      </w:r>
      <w:r w:rsidRPr="002F1860">
        <w:rPr>
          <w:rFonts w:hint="eastAsia"/>
        </w:rPr>
        <w:t>亿元</w:t>
      </w:r>
      <w:r>
        <w:rPr>
          <w:rFonts w:hint="eastAsia"/>
        </w:rPr>
        <w:t>，同比下降</w:t>
      </w:r>
      <w:r>
        <w:rPr>
          <w:rFonts w:hint="eastAsia"/>
        </w:rPr>
        <w:t>0.82%</w:t>
      </w:r>
      <w:r>
        <w:rPr>
          <w:rFonts w:hint="eastAsia"/>
        </w:rPr>
        <w:t>，未达债务限额</w:t>
      </w:r>
      <w:r w:rsidRPr="002F1860">
        <w:rPr>
          <w:rFonts w:hint="eastAsia"/>
        </w:rPr>
        <w:t>。得益于严格的管控措施，</w:t>
      </w:r>
      <w:r w:rsidRPr="00DA47A6">
        <w:rPr>
          <w:rFonts w:hint="eastAsia"/>
        </w:rPr>
        <w:t>近年来江苏省政府债务小幅下降，或有债务增速平缓。截至</w:t>
      </w:r>
      <w:r w:rsidRPr="00DA47A6">
        <w:t>201</w:t>
      </w:r>
      <w:r w:rsidRPr="00DA47A6">
        <w:rPr>
          <w:rFonts w:hint="eastAsia"/>
        </w:rPr>
        <w:t>5</w:t>
      </w:r>
      <w:r w:rsidRPr="00DA47A6">
        <w:rPr>
          <w:rFonts w:hint="eastAsia"/>
        </w:rPr>
        <w:t>年末，江苏省存量地方政府债券（包括财政</w:t>
      </w:r>
      <w:r w:rsidRPr="002F1860">
        <w:rPr>
          <w:rFonts w:hint="eastAsia"/>
        </w:rPr>
        <w:t>部代发、自行发行地方政府债券）为</w:t>
      </w:r>
      <w:r>
        <w:rPr>
          <w:rFonts w:hint="eastAsia"/>
        </w:rPr>
        <w:t>3,</w:t>
      </w:r>
      <w:r w:rsidR="008D7895">
        <w:rPr>
          <w:rFonts w:hint="eastAsia"/>
        </w:rPr>
        <w:t>621</w:t>
      </w:r>
      <w:r w:rsidRPr="002F1860">
        <w:rPr>
          <w:rFonts w:hint="eastAsia"/>
        </w:rPr>
        <w:t>亿元</w:t>
      </w:r>
      <w:r w:rsidR="00C34ACD">
        <w:rPr>
          <w:rFonts w:hint="eastAsia"/>
        </w:rPr>
        <w:t>，其中</w:t>
      </w:r>
      <w:r w:rsidR="00C34ACD">
        <w:rPr>
          <w:rFonts w:hint="eastAsia"/>
        </w:rPr>
        <w:t>2014</w:t>
      </w:r>
      <w:r w:rsidR="00C34ACD">
        <w:rPr>
          <w:rFonts w:hint="eastAsia"/>
        </w:rPr>
        <w:t>年</w:t>
      </w:r>
      <w:proofErr w:type="gramStart"/>
      <w:r w:rsidR="00C34ACD">
        <w:rPr>
          <w:rFonts w:hint="eastAsia"/>
        </w:rPr>
        <w:t>及之前</w:t>
      </w:r>
      <w:proofErr w:type="gramEnd"/>
      <w:r w:rsidR="00C34ACD">
        <w:rPr>
          <w:rFonts w:hint="eastAsia"/>
        </w:rPr>
        <w:t>的存量</w:t>
      </w:r>
      <w:r w:rsidR="00C34ACD" w:rsidRPr="00DA47A6">
        <w:rPr>
          <w:rFonts w:hint="eastAsia"/>
        </w:rPr>
        <w:t>地方政府债券</w:t>
      </w:r>
      <w:r w:rsidR="00C34ACD">
        <w:rPr>
          <w:rFonts w:hint="eastAsia"/>
        </w:rPr>
        <w:t>为</w:t>
      </w:r>
      <w:r w:rsidR="00C34ACD">
        <w:rPr>
          <w:rFonts w:hint="eastAsia"/>
        </w:rPr>
        <w:t>427</w:t>
      </w:r>
      <w:r w:rsidR="00C34ACD">
        <w:rPr>
          <w:rFonts w:hint="eastAsia"/>
        </w:rPr>
        <w:t>亿元</w:t>
      </w:r>
      <w:r w:rsidR="0064446F">
        <w:rPr>
          <w:rFonts w:hint="eastAsia"/>
        </w:rPr>
        <w:t>；</w:t>
      </w:r>
      <w:r w:rsidR="00C34ACD">
        <w:rPr>
          <w:rFonts w:hint="eastAsia"/>
        </w:rPr>
        <w:t>2015</w:t>
      </w:r>
      <w:r w:rsidR="00C34ACD">
        <w:rPr>
          <w:rFonts w:hint="eastAsia"/>
        </w:rPr>
        <w:t>年发行的存量地方</w:t>
      </w:r>
      <w:r w:rsidR="00C34ACD" w:rsidRPr="00DA47A6">
        <w:rPr>
          <w:rFonts w:hint="eastAsia"/>
        </w:rPr>
        <w:t>政府债券</w:t>
      </w:r>
      <w:r w:rsidR="00C34ACD">
        <w:rPr>
          <w:rFonts w:hint="eastAsia"/>
        </w:rPr>
        <w:t>为</w:t>
      </w:r>
      <w:r w:rsidR="00C34ACD">
        <w:rPr>
          <w:rFonts w:hint="eastAsia"/>
        </w:rPr>
        <w:t>3,194</w:t>
      </w:r>
      <w:r w:rsidR="00C34ACD">
        <w:rPr>
          <w:rFonts w:hint="eastAsia"/>
        </w:rPr>
        <w:t>亿元</w:t>
      </w:r>
      <w:r w:rsidR="007C2266">
        <w:rPr>
          <w:rFonts w:hint="eastAsia"/>
        </w:rPr>
        <w:t>，其中，</w:t>
      </w:r>
      <w:r w:rsidR="00C42EDB">
        <w:rPr>
          <w:rFonts w:hint="eastAsia"/>
        </w:rPr>
        <w:t>新增债券规模为</w:t>
      </w:r>
      <w:r w:rsidR="00C42EDB">
        <w:rPr>
          <w:rFonts w:hint="eastAsia"/>
        </w:rPr>
        <w:t>311</w:t>
      </w:r>
      <w:r w:rsidR="00C42EDB">
        <w:rPr>
          <w:rFonts w:hint="eastAsia"/>
        </w:rPr>
        <w:t>亿元，置换债券规模为</w:t>
      </w:r>
      <w:r w:rsidR="00C42EDB">
        <w:rPr>
          <w:rFonts w:hint="eastAsia"/>
        </w:rPr>
        <w:t>2,883</w:t>
      </w:r>
      <w:r w:rsidR="00C42EDB">
        <w:rPr>
          <w:rFonts w:hint="eastAsia"/>
        </w:rPr>
        <w:t>亿元（一般债</w:t>
      </w:r>
      <w:r w:rsidR="00C42EDB">
        <w:rPr>
          <w:rFonts w:hint="eastAsia"/>
        </w:rPr>
        <w:lastRenderedPageBreak/>
        <w:t>券</w:t>
      </w:r>
      <w:r w:rsidR="00C42EDB">
        <w:rPr>
          <w:rFonts w:hint="eastAsia"/>
        </w:rPr>
        <w:t>1,966.69</w:t>
      </w:r>
      <w:r w:rsidR="00C42EDB">
        <w:rPr>
          <w:rFonts w:hint="eastAsia"/>
        </w:rPr>
        <w:t>亿元，专项债券</w:t>
      </w:r>
      <w:r w:rsidR="00C42EDB">
        <w:rPr>
          <w:rFonts w:hint="eastAsia"/>
        </w:rPr>
        <w:t>916.31</w:t>
      </w:r>
      <w:r w:rsidR="00C42EDB">
        <w:rPr>
          <w:rFonts w:hint="eastAsia"/>
        </w:rPr>
        <w:t>亿元）</w:t>
      </w:r>
      <w:r w:rsidRPr="002F1860">
        <w:rPr>
          <w:rFonts w:hint="eastAsia"/>
        </w:rPr>
        <w:t>。</w:t>
      </w:r>
      <w:r w:rsidRPr="0023448B">
        <w:rPr>
          <w:rFonts w:hint="eastAsia"/>
        </w:rPr>
        <w:t>（</w:t>
      </w:r>
      <w:r w:rsidRPr="0023448B">
        <w:t>1</w:t>
      </w:r>
      <w:r w:rsidRPr="0023448B">
        <w:rPr>
          <w:rFonts w:hint="eastAsia"/>
        </w:rPr>
        <w:t>）从全口径政府债务</w:t>
      </w:r>
      <w:r>
        <w:rPr>
          <w:rFonts w:hint="eastAsia"/>
        </w:rPr>
        <w:t>规模和</w:t>
      </w:r>
      <w:r w:rsidRPr="0023448B">
        <w:rPr>
          <w:rFonts w:hint="eastAsia"/>
        </w:rPr>
        <w:t>增速来看，根据江苏省财政厅提供的数据，截至</w:t>
      </w:r>
      <w:r w:rsidRPr="0023448B">
        <w:t>2014</w:t>
      </w:r>
      <w:r w:rsidRPr="0023448B">
        <w:rPr>
          <w:rFonts w:hint="eastAsia"/>
        </w:rPr>
        <w:t>年底，江苏省政府债务余额</w:t>
      </w:r>
      <w:r>
        <w:rPr>
          <w:rFonts w:hint="eastAsia"/>
        </w:rPr>
        <w:t>为</w:t>
      </w:r>
      <w:r w:rsidRPr="0023448B">
        <w:t>10,643.30</w:t>
      </w:r>
      <w:r w:rsidRPr="0023448B">
        <w:rPr>
          <w:rFonts w:hint="eastAsia"/>
        </w:rPr>
        <w:t>亿元，截至</w:t>
      </w:r>
      <w:r w:rsidRPr="0023448B">
        <w:t>2015</w:t>
      </w:r>
      <w:r w:rsidRPr="0023448B">
        <w:rPr>
          <w:rFonts w:hint="eastAsia"/>
        </w:rPr>
        <w:t>年底，政府债务余额</w:t>
      </w:r>
      <w:r>
        <w:rPr>
          <w:rFonts w:hint="eastAsia"/>
        </w:rPr>
        <w:t>为</w:t>
      </w:r>
      <w:r w:rsidRPr="0023448B">
        <w:t>10,556.26</w:t>
      </w:r>
      <w:r w:rsidRPr="0023448B">
        <w:rPr>
          <w:rFonts w:hint="eastAsia"/>
        </w:rPr>
        <w:t>亿元，同比下降</w:t>
      </w:r>
      <w:r w:rsidRPr="0023448B">
        <w:rPr>
          <w:rFonts w:hint="eastAsia"/>
        </w:rPr>
        <w:t>0.82%</w:t>
      </w:r>
      <w:r>
        <w:rPr>
          <w:rFonts w:hint="eastAsia"/>
        </w:rPr>
        <w:t>；从</w:t>
      </w:r>
      <w:r w:rsidRPr="0023448B">
        <w:rPr>
          <w:rFonts w:hint="eastAsia"/>
        </w:rPr>
        <w:t>或有债务规模和增速来看，截至</w:t>
      </w:r>
      <w:r w:rsidRPr="0023448B">
        <w:t>2014</w:t>
      </w:r>
      <w:r w:rsidRPr="0023448B">
        <w:rPr>
          <w:rFonts w:hint="eastAsia"/>
        </w:rPr>
        <w:t>年底，江苏省或有债务余额</w:t>
      </w:r>
      <w:r>
        <w:rPr>
          <w:rFonts w:hint="eastAsia"/>
        </w:rPr>
        <w:t>为</w:t>
      </w:r>
      <w:r w:rsidRPr="0023448B">
        <w:t>7,093.66</w:t>
      </w:r>
      <w:r w:rsidRPr="0023448B">
        <w:rPr>
          <w:rFonts w:hint="eastAsia"/>
        </w:rPr>
        <w:t>亿元，截至</w:t>
      </w:r>
      <w:r w:rsidRPr="0023448B">
        <w:t>2015</w:t>
      </w:r>
      <w:r w:rsidRPr="0023448B">
        <w:rPr>
          <w:rFonts w:hint="eastAsia"/>
        </w:rPr>
        <w:t>年底，或有债务余额</w:t>
      </w:r>
      <w:r>
        <w:rPr>
          <w:rFonts w:hint="eastAsia"/>
        </w:rPr>
        <w:t>为</w:t>
      </w:r>
      <w:r w:rsidRPr="0023448B">
        <w:t>7,569.42</w:t>
      </w:r>
      <w:r w:rsidRPr="0023448B">
        <w:rPr>
          <w:rFonts w:hint="eastAsia"/>
        </w:rPr>
        <w:t>亿元，较</w:t>
      </w:r>
      <w:r w:rsidRPr="0023448B">
        <w:t>2014</w:t>
      </w:r>
      <w:r w:rsidRPr="0023448B">
        <w:rPr>
          <w:rFonts w:hint="eastAsia"/>
        </w:rPr>
        <w:t>年底增加</w:t>
      </w:r>
      <w:r>
        <w:rPr>
          <w:rFonts w:hint="eastAsia"/>
        </w:rPr>
        <w:t>475.76</w:t>
      </w:r>
      <w:r w:rsidRPr="0023448B">
        <w:rPr>
          <w:rFonts w:hint="eastAsia"/>
        </w:rPr>
        <w:t>亿元，同比增长</w:t>
      </w:r>
      <w:r>
        <w:rPr>
          <w:rFonts w:hint="eastAsia"/>
        </w:rPr>
        <w:t>6.71</w:t>
      </w:r>
      <w:r w:rsidRPr="0023448B">
        <w:t>%</w:t>
      </w:r>
      <w:r w:rsidRPr="0023448B">
        <w:rPr>
          <w:rFonts w:hint="eastAsia"/>
        </w:rPr>
        <w:t>，整体增速平稳。</w:t>
      </w:r>
      <w:r>
        <w:rPr>
          <w:rFonts w:hint="eastAsia"/>
        </w:rPr>
        <w:t>（</w:t>
      </w:r>
      <w:r>
        <w:rPr>
          <w:rFonts w:hint="eastAsia"/>
        </w:rPr>
        <w:t>2</w:t>
      </w:r>
      <w:r>
        <w:rPr>
          <w:rFonts w:hint="eastAsia"/>
        </w:rPr>
        <w:t>）</w:t>
      </w:r>
      <w:r w:rsidRPr="00954ED1">
        <w:rPr>
          <w:rFonts w:hint="eastAsia"/>
        </w:rPr>
        <w:t>2015</w:t>
      </w:r>
      <w:r w:rsidRPr="00954ED1">
        <w:rPr>
          <w:rFonts w:hint="eastAsia"/>
        </w:rPr>
        <w:t>年</w:t>
      </w:r>
      <w:r w:rsidRPr="00954ED1">
        <w:rPr>
          <w:rFonts w:hint="eastAsia"/>
        </w:rPr>
        <w:t>8</w:t>
      </w:r>
      <w:r w:rsidRPr="00954ED1">
        <w:rPr>
          <w:rFonts w:hint="eastAsia"/>
        </w:rPr>
        <w:t>月</w:t>
      </w:r>
      <w:r w:rsidRPr="00954ED1">
        <w:rPr>
          <w:rFonts w:hint="eastAsia"/>
        </w:rPr>
        <w:t>24</w:t>
      </w:r>
      <w:r w:rsidRPr="00954ED1">
        <w:rPr>
          <w:rFonts w:hint="eastAsia"/>
        </w:rPr>
        <w:t>日，国务院向十二届全国人大常委会第十六次会议提请审议《国务院关于提请审议批准</w:t>
      </w:r>
      <w:r w:rsidRPr="00954ED1">
        <w:rPr>
          <w:rFonts w:hint="eastAsia"/>
        </w:rPr>
        <w:t>2015</w:t>
      </w:r>
      <w:r w:rsidRPr="00954ED1">
        <w:rPr>
          <w:rFonts w:hint="eastAsia"/>
        </w:rPr>
        <w:t>年地方政府债务限额的议案》，标志着我国依法启动了对地方政府债务的限额管理。财政部核定</w:t>
      </w:r>
      <w:r>
        <w:rPr>
          <w:rFonts w:hint="eastAsia"/>
        </w:rPr>
        <w:t>江苏省</w:t>
      </w:r>
      <w:r w:rsidRPr="00954ED1">
        <w:rPr>
          <w:rFonts w:hint="eastAsia"/>
        </w:rPr>
        <w:t>2015</w:t>
      </w:r>
      <w:r w:rsidRPr="00954ED1">
        <w:rPr>
          <w:rFonts w:hint="eastAsia"/>
        </w:rPr>
        <w:t>年政府债务限额后，按照财政部的统一要求，</w:t>
      </w:r>
      <w:r>
        <w:rPr>
          <w:rFonts w:hint="eastAsia"/>
        </w:rPr>
        <w:t>江苏省</w:t>
      </w:r>
      <w:r w:rsidRPr="00954ED1">
        <w:rPr>
          <w:rFonts w:hint="eastAsia"/>
        </w:rPr>
        <w:t>及时拟定年度限额方案</w:t>
      </w:r>
      <w:r>
        <w:rPr>
          <w:rFonts w:hint="eastAsia"/>
        </w:rPr>
        <w:t>，并下达市级和各区县</w:t>
      </w:r>
      <w:r w:rsidRPr="00954ED1">
        <w:rPr>
          <w:rFonts w:hint="eastAsia"/>
        </w:rPr>
        <w:t>。</w:t>
      </w:r>
      <w:r w:rsidRPr="00954ED1">
        <w:rPr>
          <w:rFonts w:hint="eastAsia"/>
        </w:rPr>
        <w:t>2015</w:t>
      </w:r>
      <w:r w:rsidRPr="00954ED1">
        <w:rPr>
          <w:rFonts w:hint="eastAsia"/>
        </w:rPr>
        <w:t>年国务院核定的</w:t>
      </w:r>
      <w:r>
        <w:rPr>
          <w:rFonts w:hint="eastAsia"/>
        </w:rPr>
        <w:t>江苏省</w:t>
      </w:r>
      <w:r w:rsidRPr="00954ED1">
        <w:rPr>
          <w:rFonts w:hint="eastAsia"/>
        </w:rPr>
        <w:t>地方政府债务限额为</w:t>
      </w:r>
      <w:r w:rsidRPr="001A6CD6">
        <w:t>10</w:t>
      </w:r>
      <w:r w:rsidRPr="001A6CD6">
        <w:rPr>
          <w:rFonts w:hint="eastAsia"/>
        </w:rPr>
        <w:t>,</w:t>
      </w:r>
      <w:r w:rsidRPr="001A6CD6">
        <w:t>954.3</w:t>
      </w:r>
      <w:r w:rsidRPr="001A6CD6">
        <w:rPr>
          <w:rFonts w:hint="eastAsia"/>
        </w:rPr>
        <w:t>0</w:t>
      </w:r>
      <w:r w:rsidRPr="00954ED1">
        <w:rPr>
          <w:rFonts w:hint="eastAsia"/>
        </w:rPr>
        <w:t>亿元</w:t>
      </w:r>
      <w:r>
        <w:rPr>
          <w:rFonts w:hint="eastAsia"/>
        </w:rPr>
        <w:t>，其中，一般债务限额为</w:t>
      </w:r>
      <w:r w:rsidRPr="001A6CD6">
        <w:rPr>
          <w:rFonts w:hint="eastAsia"/>
        </w:rPr>
        <w:t>6,528.20</w:t>
      </w:r>
      <w:r>
        <w:rPr>
          <w:rFonts w:hint="eastAsia"/>
        </w:rPr>
        <w:t>亿元，专项债务限额为</w:t>
      </w:r>
      <w:r w:rsidRPr="001A6CD6">
        <w:rPr>
          <w:rFonts w:hint="eastAsia"/>
        </w:rPr>
        <w:t>4,426.10</w:t>
      </w:r>
      <w:r>
        <w:rPr>
          <w:rFonts w:hint="eastAsia"/>
        </w:rPr>
        <w:t>亿元。</w:t>
      </w:r>
      <w:r w:rsidRPr="00B25987">
        <w:rPr>
          <w:rFonts w:hint="eastAsia"/>
        </w:rPr>
        <w:t>（</w:t>
      </w:r>
      <w:r w:rsidRPr="00B25987">
        <w:rPr>
          <w:rFonts w:hint="eastAsia"/>
        </w:rPr>
        <w:t>3</w:t>
      </w:r>
      <w:r w:rsidRPr="00B25987">
        <w:rPr>
          <w:rFonts w:hint="eastAsia"/>
        </w:rPr>
        <w:t>）银行贷款、债券和信托融资是政府债务最主要的资金来源。</w:t>
      </w:r>
      <w:r w:rsidRPr="00ED2742">
        <w:rPr>
          <w:rFonts w:hint="eastAsia"/>
        </w:rPr>
        <w:t>三类融资方式在政府债务中占比分别为</w:t>
      </w:r>
      <w:r w:rsidRPr="00ED2742">
        <w:rPr>
          <w:rFonts w:hint="eastAsia"/>
        </w:rPr>
        <w:t>43.43%</w:t>
      </w:r>
      <w:r w:rsidRPr="00ED2742">
        <w:rPr>
          <w:rFonts w:hint="eastAsia"/>
        </w:rPr>
        <w:t>、</w:t>
      </w:r>
      <w:r w:rsidRPr="00ED2742">
        <w:rPr>
          <w:rFonts w:hint="eastAsia"/>
        </w:rPr>
        <w:t>42.42%</w:t>
      </w:r>
      <w:r w:rsidRPr="00ED2742">
        <w:rPr>
          <w:rFonts w:hint="eastAsia"/>
        </w:rPr>
        <w:t>和</w:t>
      </w:r>
      <w:r w:rsidRPr="00ED2742">
        <w:rPr>
          <w:rFonts w:hint="eastAsia"/>
        </w:rPr>
        <w:t>2.64%</w:t>
      </w:r>
      <w:r w:rsidRPr="00ED2742">
        <w:rPr>
          <w:rFonts w:hint="eastAsia"/>
        </w:rPr>
        <w:t>，在或有债务中占比分别</w:t>
      </w:r>
      <w:r w:rsidRPr="005E584C">
        <w:rPr>
          <w:rFonts w:hint="eastAsia"/>
        </w:rPr>
        <w:t>为</w:t>
      </w:r>
      <w:r w:rsidR="005E584C" w:rsidRPr="005E584C">
        <w:rPr>
          <w:rFonts w:hint="eastAsia"/>
        </w:rPr>
        <w:t>52.94</w:t>
      </w:r>
      <w:r w:rsidRPr="005E584C">
        <w:rPr>
          <w:rFonts w:hint="eastAsia"/>
        </w:rPr>
        <w:t>%</w:t>
      </w:r>
      <w:r w:rsidRPr="005E584C">
        <w:rPr>
          <w:rFonts w:hint="eastAsia"/>
        </w:rPr>
        <w:t>、</w:t>
      </w:r>
      <w:r w:rsidRPr="005E584C">
        <w:rPr>
          <w:rFonts w:hint="eastAsia"/>
        </w:rPr>
        <w:t>18.39%</w:t>
      </w:r>
      <w:r w:rsidRPr="005E584C">
        <w:rPr>
          <w:rFonts w:hint="eastAsia"/>
        </w:rPr>
        <w:t>和</w:t>
      </w:r>
      <w:r w:rsidRPr="005E584C">
        <w:rPr>
          <w:rFonts w:hint="eastAsia"/>
        </w:rPr>
        <w:t>8.37%</w:t>
      </w:r>
      <w:r w:rsidRPr="005E584C">
        <w:rPr>
          <w:rFonts w:hint="eastAsia"/>
        </w:rPr>
        <w:t>。（</w:t>
      </w:r>
      <w:r w:rsidRPr="005E584C">
        <w:rPr>
          <w:rFonts w:hint="eastAsia"/>
        </w:rPr>
        <w:t>4</w:t>
      </w:r>
      <w:r w:rsidRPr="005E584C">
        <w:rPr>
          <w:rFonts w:hint="eastAsia"/>
        </w:rPr>
        <w:t>）政府债务形成大量优质资产。江苏省政府债务和</w:t>
      </w:r>
      <w:proofErr w:type="gramStart"/>
      <w:r w:rsidRPr="005E584C">
        <w:rPr>
          <w:rFonts w:hint="eastAsia"/>
        </w:rPr>
        <w:t>或</w:t>
      </w:r>
      <w:proofErr w:type="gramEnd"/>
      <w:r w:rsidRPr="005E584C">
        <w:rPr>
          <w:rFonts w:hint="eastAsia"/>
        </w:rPr>
        <w:t>有债务主要用于基础设施建设</w:t>
      </w:r>
      <w:r w:rsidRPr="00B25987">
        <w:rPr>
          <w:rFonts w:hint="eastAsia"/>
        </w:rPr>
        <w:t>和公益性项目，其相应债务也形成了大量的资产，比如土地储备资产、城市轨道交通、水热电气等市政建设和高速公路、机场等，且大多能够产出经营性收入，在一定程度上可以保障相关债务偿还。</w:t>
      </w:r>
    </w:p>
    <w:p w:rsidR="00486F91" w:rsidRPr="00BA6580" w:rsidRDefault="00486F91" w:rsidP="00486F91">
      <w:pPr>
        <w:spacing w:beforeLines="50" w:before="156" w:line="300" w:lineRule="auto"/>
        <w:ind w:left="420"/>
        <w:jc w:val="center"/>
        <w:rPr>
          <w:rFonts w:eastAsia="黑体"/>
          <w:b/>
          <w:sz w:val="20"/>
          <w:szCs w:val="20"/>
        </w:rPr>
      </w:pPr>
      <w:r>
        <w:rPr>
          <w:rFonts w:eastAsia="黑体" w:hint="eastAsia"/>
          <w:b/>
          <w:sz w:val="20"/>
          <w:szCs w:val="20"/>
        </w:rPr>
        <w:t>表</w:t>
      </w:r>
      <w:r>
        <w:rPr>
          <w:rFonts w:eastAsia="黑体" w:hint="eastAsia"/>
          <w:b/>
          <w:sz w:val="20"/>
          <w:szCs w:val="20"/>
        </w:rPr>
        <w:t>4</w:t>
      </w:r>
      <w:r>
        <w:rPr>
          <w:rFonts w:eastAsia="黑体" w:hint="eastAsia"/>
          <w:b/>
          <w:sz w:val="20"/>
          <w:szCs w:val="20"/>
        </w:rPr>
        <w:t>：江苏省</w:t>
      </w:r>
      <w:r w:rsidRPr="00BA6580">
        <w:rPr>
          <w:rFonts w:eastAsia="黑体" w:hint="eastAsia"/>
          <w:b/>
          <w:sz w:val="20"/>
          <w:szCs w:val="20"/>
        </w:rPr>
        <w:t>债务限额情况（单位：亿元）</w:t>
      </w:r>
    </w:p>
    <w:tbl>
      <w:tblPr>
        <w:tblW w:w="4945" w:type="pct"/>
        <w:tblBorders>
          <w:top w:val="single" w:sz="4" w:space="0" w:color="auto"/>
          <w:bottom w:val="single" w:sz="4" w:space="0" w:color="auto"/>
          <w:insideH w:val="single" w:sz="4" w:space="0" w:color="999999"/>
          <w:insideV w:val="single" w:sz="4" w:space="0" w:color="999999"/>
        </w:tblBorders>
        <w:tblLook w:val="04A0" w:firstRow="1" w:lastRow="0" w:firstColumn="1" w:lastColumn="0" w:noHBand="0" w:noVBand="1"/>
      </w:tblPr>
      <w:tblGrid>
        <w:gridCol w:w="3245"/>
        <w:gridCol w:w="1566"/>
        <w:gridCol w:w="1534"/>
        <w:gridCol w:w="1556"/>
        <w:gridCol w:w="1566"/>
      </w:tblGrid>
      <w:tr w:rsidR="00486F91" w:rsidRPr="00BA6580" w:rsidTr="0086308A">
        <w:trPr>
          <w:trHeight w:val="270"/>
          <w:tblHeader/>
        </w:trPr>
        <w:tc>
          <w:tcPr>
            <w:tcW w:w="1714" w:type="pct"/>
            <w:vMerge w:val="restart"/>
            <w:shd w:val="clear" w:color="auto" w:fill="0070C0"/>
            <w:noWrap/>
            <w:vAlign w:val="center"/>
            <w:hideMark/>
          </w:tcPr>
          <w:p w:rsidR="00486F91" w:rsidRPr="00BA6580" w:rsidRDefault="00486F91" w:rsidP="00A56527">
            <w:pPr>
              <w:spacing w:line="240" w:lineRule="exact"/>
              <w:jc w:val="center"/>
              <w:rPr>
                <w:b/>
                <w:color w:val="FFFFFF"/>
                <w:sz w:val="18"/>
                <w:szCs w:val="18"/>
              </w:rPr>
            </w:pPr>
            <w:r w:rsidRPr="00BA6580">
              <w:rPr>
                <w:rFonts w:hint="eastAsia"/>
                <w:b/>
                <w:color w:val="FFFFFF"/>
                <w:sz w:val="18"/>
                <w:szCs w:val="18"/>
              </w:rPr>
              <w:t>项目</w:t>
            </w:r>
          </w:p>
        </w:tc>
        <w:tc>
          <w:tcPr>
            <w:tcW w:w="1637" w:type="pct"/>
            <w:gridSpan w:val="2"/>
            <w:shd w:val="clear" w:color="auto" w:fill="0070C0"/>
          </w:tcPr>
          <w:p w:rsidR="00486F91" w:rsidRPr="00BA6580" w:rsidRDefault="00486F91" w:rsidP="00A56527">
            <w:pPr>
              <w:spacing w:line="240" w:lineRule="exact"/>
              <w:jc w:val="center"/>
              <w:rPr>
                <w:b/>
                <w:color w:val="FFFFFF"/>
                <w:sz w:val="18"/>
                <w:szCs w:val="18"/>
              </w:rPr>
            </w:pPr>
            <w:r w:rsidRPr="00BA6580">
              <w:rPr>
                <w:b/>
                <w:color w:val="FFFFFF"/>
                <w:sz w:val="18"/>
                <w:szCs w:val="18"/>
              </w:rPr>
              <w:t>201</w:t>
            </w:r>
            <w:r>
              <w:rPr>
                <w:rFonts w:hint="eastAsia"/>
                <w:b/>
                <w:color w:val="FFFFFF"/>
                <w:sz w:val="18"/>
                <w:szCs w:val="18"/>
              </w:rPr>
              <w:t>5</w:t>
            </w:r>
            <w:r w:rsidRPr="00BA6580">
              <w:rPr>
                <w:rFonts w:hint="eastAsia"/>
                <w:b/>
                <w:color w:val="FFFFFF"/>
                <w:sz w:val="18"/>
                <w:szCs w:val="18"/>
              </w:rPr>
              <w:t>年</w:t>
            </w:r>
          </w:p>
        </w:tc>
        <w:tc>
          <w:tcPr>
            <w:tcW w:w="1649" w:type="pct"/>
            <w:gridSpan w:val="2"/>
            <w:shd w:val="clear" w:color="auto" w:fill="0070C0"/>
          </w:tcPr>
          <w:p w:rsidR="00486F91" w:rsidRPr="00ED2742" w:rsidRDefault="00486F91" w:rsidP="00A56527">
            <w:pPr>
              <w:spacing w:line="240" w:lineRule="exact"/>
              <w:jc w:val="center"/>
              <w:rPr>
                <w:b/>
                <w:color w:val="FFFFFF" w:themeColor="background1"/>
                <w:sz w:val="18"/>
                <w:szCs w:val="18"/>
              </w:rPr>
            </w:pPr>
            <w:r w:rsidRPr="00ED2742">
              <w:rPr>
                <w:b/>
                <w:color w:val="FFFFFF" w:themeColor="background1"/>
                <w:sz w:val="18"/>
                <w:szCs w:val="18"/>
              </w:rPr>
              <w:t>201</w:t>
            </w:r>
            <w:r w:rsidRPr="00ED2742">
              <w:rPr>
                <w:rFonts w:hint="eastAsia"/>
                <w:b/>
                <w:color w:val="FFFFFF" w:themeColor="background1"/>
                <w:sz w:val="18"/>
                <w:szCs w:val="18"/>
              </w:rPr>
              <w:t>6</w:t>
            </w:r>
            <w:r w:rsidRPr="00ED2742">
              <w:rPr>
                <w:rFonts w:hint="eastAsia"/>
                <w:b/>
                <w:color w:val="FFFFFF" w:themeColor="background1"/>
                <w:sz w:val="18"/>
                <w:szCs w:val="18"/>
              </w:rPr>
              <w:t>年</w:t>
            </w:r>
          </w:p>
        </w:tc>
      </w:tr>
      <w:tr w:rsidR="00486F91" w:rsidRPr="00BA6580" w:rsidTr="0086308A">
        <w:trPr>
          <w:trHeight w:val="270"/>
          <w:tblHeader/>
        </w:trPr>
        <w:tc>
          <w:tcPr>
            <w:tcW w:w="1714" w:type="pct"/>
            <w:vMerge/>
            <w:shd w:val="clear" w:color="auto" w:fill="0070C0"/>
            <w:noWrap/>
            <w:hideMark/>
          </w:tcPr>
          <w:p w:rsidR="00486F91" w:rsidRPr="00BA6580" w:rsidRDefault="00486F91" w:rsidP="00A56527">
            <w:pPr>
              <w:spacing w:line="240" w:lineRule="exact"/>
              <w:rPr>
                <w:b/>
                <w:color w:val="FFFFFF"/>
                <w:sz w:val="18"/>
                <w:szCs w:val="18"/>
              </w:rPr>
            </w:pPr>
          </w:p>
        </w:tc>
        <w:tc>
          <w:tcPr>
            <w:tcW w:w="827" w:type="pct"/>
            <w:shd w:val="clear" w:color="auto" w:fill="0070C0"/>
          </w:tcPr>
          <w:p w:rsidR="00486F91" w:rsidRPr="00BA6580" w:rsidRDefault="00486F91" w:rsidP="00A56527">
            <w:pPr>
              <w:spacing w:line="240" w:lineRule="exact"/>
              <w:jc w:val="center"/>
              <w:rPr>
                <w:b/>
                <w:color w:val="FFFFFF"/>
                <w:sz w:val="18"/>
                <w:szCs w:val="18"/>
              </w:rPr>
            </w:pPr>
            <w:r w:rsidRPr="00BA6580">
              <w:rPr>
                <w:rFonts w:hint="eastAsia"/>
                <w:b/>
                <w:color w:val="FFFFFF"/>
                <w:sz w:val="18"/>
                <w:szCs w:val="18"/>
              </w:rPr>
              <w:t>全</w:t>
            </w:r>
            <w:r>
              <w:rPr>
                <w:rFonts w:hint="eastAsia"/>
                <w:b/>
                <w:color w:val="FFFFFF"/>
                <w:sz w:val="18"/>
                <w:szCs w:val="18"/>
              </w:rPr>
              <w:t>省</w:t>
            </w:r>
          </w:p>
        </w:tc>
        <w:tc>
          <w:tcPr>
            <w:tcW w:w="810" w:type="pct"/>
            <w:shd w:val="clear" w:color="auto" w:fill="0070C0"/>
          </w:tcPr>
          <w:p w:rsidR="00486F91" w:rsidRPr="00BA6580" w:rsidRDefault="00486F91" w:rsidP="00A56527">
            <w:pPr>
              <w:spacing w:line="240" w:lineRule="exact"/>
              <w:jc w:val="center"/>
              <w:rPr>
                <w:b/>
                <w:color w:val="FFFFFF"/>
                <w:sz w:val="18"/>
                <w:szCs w:val="18"/>
              </w:rPr>
            </w:pPr>
            <w:r w:rsidRPr="00BA6580">
              <w:rPr>
                <w:rFonts w:hint="eastAsia"/>
                <w:b/>
                <w:color w:val="FFFFFF"/>
                <w:sz w:val="18"/>
                <w:szCs w:val="18"/>
              </w:rPr>
              <w:t>本级</w:t>
            </w:r>
          </w:p>
        </w:tc>
        <w:tc>
          <w:tcPr>
            <w:tcW w:w="822" w:type="pct"/>
            <w:shd w:val="clear" w:color="auto" w:fill="0070C0"/>
          </w:tcPr>
          <w:p w:rsidR="00486F91" w:rsidRPr="00C72C3C" w:rsidRDefault="00486F91" w:rsidP="00A56527">
            <w:pPr>
              <w:spacing w:line="240" w:lineRule="exact"/>
              <w:jc w:val="center"/>
              <w:rPr>
                <w:b/>
                <w:color w:val="FF0000"/>
                <w:sz w:val="18"/>
                <w:szCs w:val="18"/>
              </w:rPr>
            </w:pPr>
            <w:r w:rsidRPr="00ED2742">
              <w:rPr>
                <w:rFonts w:hint="eastAsia"/>
                <w:b/>
                <w:color w:val="FFFFFF" w:themeColor="background1"/>
                <w:sz w:val="18"/>
                <w:szCs w:val="18"/>
              </w:rPr>
              <w:t>全省</w:t>
            </w:r>
          </w:p>
        </w:tc>
        <w:tc>
          <w:tcPr>
            <w:tcW w:w="824" w:type="pct"/>
            <w:shd w:val="clear" w:color="auto" w:fill="0070C0"/>
          </w:tcPr>
          <w:p w:rsidR="00486F91" w:rsidRPr="00ED2742" w:rsidRDefault="00486F91" w:rsidP="00A56527">
            <w:pPr>
              <w:spacing w:line="240" w:lineRule="exact"/>
              <w:jc w:val="center"/>
              <w:rPr>
                <w:b/>
                <w:color w:val="FFFFFF" w:themeColor="background1"/>
                <w:sz w:val="18"/>
                <w:szCs w:val="18"/>
              </w:rPr>
            </w:pPr>
            <w:r w:rsidRPr="00ED2742">
              <w:rPr>
                <w:rFonts w:hint="eastAsia"/>
                <w:b/>
                <w:color w:val="FFFFFF" w:themeColor="background1"/>
                <w:sz w:val="18"/>
                <w:szCs w:val="18"/>
              </w:rPr>
              <w:t>本级</w:t>
            </w:r>
          </w:p>
        </w:tc>
      </w:tr>
      <w:tr w:rsidR="00CD4711" w:rsidRPr="00BA6580" w:rsidTr="0086308A">
        <w:trPr>
          <w:trHeight w:val="300"/>
        </w:trPr>
        <w:tc>
          <w:tcPr>
            <w:tcW w:w="1714" w:type="pct"/>
            <w:shd w:val="clear" w:color="auto" w:fill="auto"/>
            <w:vAlign w:val="center"/>
          </w:tcPr>
          <w:p w:rsidR="00CD4711" w:rsidRPr="00BA6580" w:rsidRDefault="00CD4711" w:rsidP="00CD4711">
            <w:pPr>
              <w:spacing w:line="240" w:lineRule="exact"/>
              <w:rPr>
                <w:sz w:val="18"/>
                <w:szCs w:val="18"/>
              </w:rPr>
            </w:pPr>
            <w:r w:rsidRPr="00BA6580">
              <w:rPr>
                <w:rFonts w:hint="eastAsia"/>
                <w:sz w:val="18"/>
                <w:szCs w:val="18"/>
              </w:rPr>
              <w:t>地方政府债务限额</w:t>
            </w:r>
          </w:p>
        </w:tc>
        <w:tc>
          <w:tcPr>
            <w:tcW w:w="827" w:type="pct"/>
            <w:shd w:val="clear" w:color="auto" w:fill="auto"/>
            <w:vAlign w:val="center"/>
          </w:tcPr>
          <w:p w:rsidR="00CD4711" w:rsidRPr="00BA6580" w:rsidRDefault="00CD4711" w:rsidP="00CD4711">
            <w:pPr>
              <w:jc w:val="center"/>
              <w:rPr>
                <w:sz w:val="18"/>
                <w:szCs w:val="18"/>
              </w:rPr>
            </w:pPr>
            <w:r w:rsidRPr="00FB0EC5">
              <w:rPr>
                <w:sz w:val="18"/>
                <w:szCs w:val="18"/>
              </w:rPr>
              <w:t>10</w:t>
            </w:r>
            <w:r>
              <w:rPr>
                <w:rFonts w:hint="eastAsia"/>
                <w:sz w:val="18"/>
                <w:szCs w:val="18"/>
              </w:rPr>
              <w:t>,</w:t>
            </w:r>
            <w:r w:rsidRPr="00FB0EC5">
              <w:rPr>
                <w:sz w:val="18"/>
                <w:szCs w:val="18"/>
              </w:rPr>
              <w:t>954.3</w:t>
            </w:r>
            <w:r>
              <w:rPr>
                <w:rFonts w:hint="eastAsia"/>
                <w:sz w:val="18"/>
                <w:szCs w:val="18"/>
              </w:rPr>
              <w:t>0</w:t>
            </w:r>
          </w:p>
        </w:tc>
        <w:tc>
          <w:tcPr>
            <w:tcW w:w="810" w:type="pct"/>
            <w:shd w:val="clear" w:color="auto" w:fill="auto"/>
            <w:vAlign w:val="center"/>
          </w:tcPr>
          <w:p w:rsidR="00CD4711" w:rsidRPr="00BA6580" w:rsidRDefault="00CD4711" w:rsidP="00CD4711">
            <w:pPr>
              <w:jc w:val="center"/>
            </w:pPr>
            <w:r>
              <w:rPr>
                <w:rFonts w:hint="eastAsia"/>
                <w:sz w:val="18"/>
                <w:szCs w:val="18"/>
              </w:rPr>
              <w:t>662.70</w:t>
            </w:r>
          </w:p>
        </w:tc>
        <w:tc>
          <w:tcPr>
            <w:tcW w:w="822" w:type="pct"/>
            <w:shd w:val="clear" w:color="auto" w:fill="auto"/>
            <w:vAlign w:val="center"/>
          </w:tcPr>
          <w:p w:rsidR="00CD4711" w:rsidRPr="00ED2742" w:rsidRDefault="00CD4711" w:rsidP="00CD4711">
            <w:pPr>
              <w:jc w:val="center"/>
              <w:rPr>
                <w:sz w:val="18"/>
                <w:szCs w:val="18"/>
              </w:rPr>
            </w:pPr>
            <w:r w:rsidRPr="00ED2742">
              <w:rPr>
                <w:rFonts w:hint="eastAsia"/>
                <w:sz w:val="18"/>
                <w:szCs w:val="18"/>
              </w:rPr>
              <w:t>—</w:t>
            </w:r>
          </w:p>
        </w:tc>
        <w:tc>
          <w:tcPr>
            <w:tcW w:w="824" w:type="pct"/>
            <w:shd w:val="clear" w:color="auto" w:fill="auto"/>
            <w:vAlign w:val="center"/>
          </w:tcPr>
          <w:p w:rsidR="00CD4711" w:rsidRPr="00ED2742" w:rsidRDefault="00CD4711" w:rsidP="00CD4711">
            <w:pPr>
              <w:jc w:val="center"/>
            </w:pPr>
            <w:r w:rsidRPr="00ED2742">
              <w:rPr>
                <w:rFonts w:hint="eastAsia"/>
                <w:sz w:val="18"/>
                <w:szCs w:val="18"/>
              </w:rPr>
              <w:t>—</w:t>
            </w:r>
          </w:p>
        </w:tc>
      </w:tr>
      <w:tr w:rsidR="00CD4711" w:rsidRPr="00BA6580" w:rsidTr="0086308A">
        <w:trPr>
          <w:trHeight w:val="300"/>
        </w:trPr>
        <w:tc>
          <w:tcPr>
            <w:tcW w:w="1714" w:type="pct"/>
            <w:shd w:val="clear" w:color="auto" w:fill="D3EDFB"/>
            <w:vAlign w:val="center"/>
          </w:tcPr>
          <w:p w:rsidR="00CD4711" w:rsidRPr="00BA6580" w:rsidRDefault="00CD4711" w:rsidP="00A56527">
            <w:pPr>
              <w:spacing w:line="240" w:lineRule="exact"/>
              <w:rPr>
                <w:sz w:val="18"/>
                <w:szCs w:val="18"/>
              </w:rPr>
            </w:pPr>
            <w:r w:rsidRPr="00BA6580">
              <w:rPr>
                <w:rFonts w:hint="eastAsia"/>
                <w:sz w:val="18"/>
                <w:szCs w:val="18"/>
              </w:rPr>
              <w:t>其中：一般债务限额</w:t>
            </w:r>
          </w:p>
        </w:tc>
        <w:tc>
          <w:tcPr>
            <w:tcW w:w="827" w:type="pct"/>
            <w:shd w:val="clear" w:color="auto" w:fill="D3EDFB"/>
            <w:vAlign w:val="center"/>
          </w:tcPr>
          <w:p w:rsidR="00CD4711" w:rsidRPr="00BA6580" w:rsidRDefault="00CD4711" w:rsidP="00A56527">
            <w:pPr>
              <w:jc w:val="center"/>
              <w:rPr>
                <w:sz w:val="18"/>
                <w:szCs w:val="18"/>
              </w:rPr>
            </w:pPr>
            <w:r>
              <w:rPr>
                <w:rFonts w:hint="eastAsia"/>
                <w:sz w:val="18"/>
                <w:szCs w:val="18"/>
              </w:rPr>
              <w:t>6,528.20</w:t>
            </w:r>
          </w:p>
        </w:tc>
        <w:tc>
          <w:tcPr>
            <w:tcW w:w="810" w:type="pct"/>
            <w:shd w:val="clear" w:color="auto" w:fill="D3EDFB"/>
            <w:vAlign w:val="center"/>
          </w:tcPr>
          <w:p w:rsidR="00CD4711" w:rsidRPr="00BA6580" w:rsidRDefault="00CD4711" w:rsidP="00A56527">
            <w:pPr>
              <w:jc w:val="center"/>
              <w:rPr>
                <w:sz w:val="18"/>
                <w:szCs w:val="18"/>
              </w:rPr>
            </w:pPr>
            <w:r w:rsidRPr="0007468F">
              <w:rPr>
                <w:rFonts w:hint="eastAsia"/>
                <w:sz w:val="18"/>
                <w:szCs w:val="18"/>
              </w:rPr>
              <w:t>661.9</w:t>
            </w:r>
            <w:r>
              <w:rPr>
                <w:rFonts w:hint="eastAsia"/>
                <w:sz w:val="18"/>
                <w:szCs w:val="18"/>
              </w:rPr>
              <w:t>0</w:t>
            </w:r>
          </w:p>
        </w:tc>
        <w:tc>
          <w:tcPr>
            <w:tcW w:w="822" w:type="pct"/>
            <w:shd w:val="clear" w:color="auto" w:fill="D3EDFB"/>
            <w:vAlign w:val="center"/>
          </w:tcPr>
          <w:p w:rsidR="00CD4711" w:rsidRPr="00ED2742" w:rsidRDefault="00CD4711" w:rsidP="00A56527">
            <w:pPr>
              <w:jc w:val="center"/>
              <w:rPr>
                <w:sz w:val="18"/>
                <w:szCs w:val="18"/>
              </w:rPr>
            </w:pPr>
            <w:r w:rsidRPr="00ED2742">
              <w:rPr>
                <w:rFonts w:hint="eastAsia"/>
                <w:sz w:val="18"/>
                <w:szCs w:val="18"/>
              </w:rPr>
              <w:t>—</w:t>
            </w:r>
          </w:p>
        </w:tc>
        <w:tc>
          <w:tcPr>
            <w:tcW w:w="824" w:type="pct"/>
            <w:shd w:val="clear" w:color="auto" w:fill="D3EDFB"/>
            <w:vAlign w:val="center"/>
          </w:tcPr>
          <w:p w:rsidR="00CD4711" w:rsidRPr="00ED2742" w:rsidRDefault="007641CB" w:rsidP="00A56527">
            <w:pPr>
              <w:jc w:val="center"/>
              <w:rPr>
                <w:sz w:val="18"/>
                <w:szCs w:val="18"/>
              </w:rPr>
            </w:pPr>
            <w:r w:rsidRPr="00ED2742">
              <w:rPr>
                <w:rFonts w:hint="eastAsia"/>
                <w:sz w:val="18"/>
                <w:szCs w:val="18"/>
              </w:rPr>
              <w:t>—</w:t>
            </w:r>
          </w:p>
        </w:tc>
      </w:tr>
      <w:tr w:rsidR="00CD4711" w:rsidRPr="00BA6580" w:rsidTr="0086308A">
        <w:trPr>
          <w:trHeight w:val="300"/>
        </w:trPr>
        <w:tc>
          <w:tcPr>
            <w:tcW w:w="1714" w:type="pct"/>
            <w:shd w:val="clear" w:color="auto" w:fill="auto"/>
            <w:vAlign w:val="center"/>
          </w:tcPr>
          <w:p w:rsidR="00CD4711" w:rsidRPr="00BA6580" w:rsidRDefault="00CD4711" w:rsidP="00A56527">
            <w:pPr>
              <w:spacing w:line="240" w:lineRule="exact"/>
              <w:rPr>
                <w:sz w:val="18"/>
                <w:szCs w:val="18"/>
              </w:rPr>
            </w:pPr>
            <w:r w:rsidRPr="00BA6580">
              <w:rPr>
                <w:sz w:val="18"/>
                <w:szCs w:val="18"/>
              </w:rPr>
              <w:t xml:space="preserve">      </w:t>
            </w:r>
            <w:r w:rsidRPr="00BA6580">
              <w:rPr>
                <w:rFonts w:hint="eastAsia"/>
                <w:sz w:val="18"/>
                <w:szCs w:val="18"/>
              </w:rPr>
              <w:t>专项债务限额</w:t>
            </w:r>
          </w:p>
        </w:tc>
        <w:tc>
          <w:tcPr>
            <w:tcW w:w="827" w:type="pct"/>
            <w:shd w:val="clear" w:color="auto" w:fill="auto"/>
            <w:vAlign w:val="center"/>
          </w:tcPr>
          <w:p w:rsidR="00CD4711" w:rsidRPr="00BA6580" w:rsidRDefault="00CD4711" w:rsidP="00A56527">
            <w:pPr>
              <w:jc w:val="center"/>
              <w:rPr>
                <w:sz w:val="18"/>
                <w:szCs w:val="18"/>
              </w:rPr>
            </w:pPr>
            <w:r>
              <w:rPr>
                <w:rFonts w:hint="eastAsia"/>
                <w:sz w:val="18"/>
                <w:szCs w:val="18"/>
              </w:rPr>
              <w:t>4,426.10</w:t>
            </w:r>
          </w:p>
        </w:tc>
        <w:tc>
          <w:tcPr>
            <w:tcW w:w="810" w:type="pct"/>
            <w:shd w:val="clear" w:color="auto" w:fill="auto"/>
            <w:vAlign w:val="center"/>
          </w:tcPr>
          <w:p w:rsidR="00CD4711" w:rsidRPr="00BA6580" w:rsidRDefault="00CD4711" w:rsidP="00A56527">
            <w:pPr>
              <w:jc w:val="center"/>
            </w:pPr>
            <w:r w:rsidRPr="0007468F">
              <w:rPr>
                <w:rFonts w:hint="eastAsia"/>
                <w:sz w:val="18"/>
                <w:szCs w:val="18"/>
              </w:rPr>
              <w:t>0.8</w:t>
            </w:r>
            <w:r>
              <w:rPr>
                <w:rFonts w:hint="eastAsia"/>
                <w:sz w:val="18"/>
                <w:szCs w:val="18"/>
              </w:rPr>
              <w:t>0</w:t>
            </w:r>
          </w:p>
        </w:tc>
        <w:tc>
          <w:tcPr>
            <w:tcW w:w="822" w:type="pct"/>
            <w:shd w:val="clear" w:color="auto" w:fill="auto"/>
            <w:vAlign w:val="center"/>
          </w:tcPr>
          <w:p w:rsidR="00CD4711" w:rsidRPr="00ED2742" w:rsidRDefault="00CD4711" w:rsidP="00A56527">
            <w:pPr>
              <w:jc w:val="center"/>
              <w:rPr>
                <w:sz w:val="18"/>
                <w:szCs w:val="18"/>
              </w:rPr>
            </w:pPr>
            <w:r w:rsidRPr="00ED2742">
              <w:rPr>
                <w:rFonts w:hint="eastAsia"/>
                <w:sz w:val="18"/>
                <w:szCs w:val="18"/>
              </w:rPr>
              <w:t>—</w:t>
            </w:r>
          </w:p>
        </w:tc>
        <w:tc>
          <w:tcPr>
            <w:tcW w:w="824" w:type="pct"/>
            <w:shd w:val="clear" w:color="auto" w:fill="auto"/>
            <w:vAlign w:val="center"/>
          </w:tcPr>
          <w:p w:rsidR="00CD4711" w:rsidRPr="00ED2742" w:rsidRDefault="007641CB" w:rsidP="00A56527">
            <w:pPr>
              <w:jc w:val="center"/>
            </w:pPr>
            <w:r w:rsidRPr="00ED2742">
              <w:rPr>
                <w:rFonts w:hint="eastAsia"/>
                <w:sz w:val="18"/>
                <w:szCs w:val="18"/>
              </w:rPr>
              <w:t>—</w:t>
            </w:r>
          </w:p>
        </w:tc>
      </w:tr>
    </w:tbl>
    <w:p w:rsidR="00486F91" w:rsidRDefault="00486F91" w:rsidP="0086308A">
      <w:pPr>
        <w:widowControl/>
        <w:tabs>
          <w:tab w:val="num" w:pos="426"/>
        </w:tabs>
        <w:spacing w:afterLines="50" w:after="156" w:line="240" w:lineRule="exact"/>
        <w:ind w:leftChars="-53" w:hangingChars="74" w:hanging="111"/>
        <w:rPr>
          <w:rFonts w:eastAsia="黑体"/>
          <w:sz w:val="15"/>
          <w:szCs w:val="15"/>
        </w:rPr>
      </w:pPr>
      <w:r w:rsidRPr="00BA6580">
        <w:rPr>
          <w:rFonts w:eastAsia="黑体" w:hint="eastAsia"/>
          <w:sz w:val="15"/>
          <w:szCs w:val="15"/>
        </w:rPr>
        <w:t>资料来源：《</w:t>
      </w:r>
      <w:r>
        <w:rPr>
          <w:rFonts w:eastAsia="黑体" w:hint="eastAsia"/>
          <w:sz w:val="15"/>
          <w:szCs w:val="15"/>
        </w:rPr>
        <w:t>江苏省财政厅</w:t>
      </w:r>
      <w:r w:rsidRPr="00BA6580">
        <w:rPr>
          <w:rFonts w:eastAsia="黑体" w:hint="eastAsia"/>
          <w:sz w:val="15"/>
          <w:szCs w:val="15"/>
        </w:rPr>
        <w:t>关于做好</w:t>
      </w:r>
      <w:r w:rsidRPr="00BA6580">
        <w:rPr>
          <w:rFonts w:eastAsia="黑体"/>
          <w:sz w:val="15"/>
          <w:szCs w:val="15"/>
        </w:rPr>
        <w:t>2015</w:t>
      </w:r>
      <w:r w:rsidRPr="00BA6580">
        <w:rPr>
          <w:rFonts w:eastAsia="黑体" w:hint="eastAsia"/>
          <w:sz w:val="15"/>
          <w:szCs w:val="15"/>
        </w:rPr>
        <w:t>年地方政府债务限额管理工作的通知》（</w:t>
      </w:r>
      <w:proofErr w:type="gramStart"/>
      <w:r>
        <w:rPr>
          <w:rFonts w:eastAsia="黑体" w:hint="eastAsia"/>
          <w:sz w:val="15"/>
          <w:szCs w:val="15"/>
        </w:rPr>
        <w:t>苏</w:t>
      </w:r>
      <w:r w:rsidRPr="00BA6580">
        <w:rPr>
          <w:rFonts w:eastAsia="黑体" w:hint="eastAsia"/>
          <w:sz w:val="15"/>
          <w:szCs w:val="15"/>
        </w:rPr>
        <w:t>财</w:t>
      </w:r>
      <w:r>
        <w:rPr>
          <w:rFonts w:eastAsia="黑体" w:hint="eastAsia"/>
          <w:sz w:val="15"/>
          <w:szCs w:val="15"/>
        </w:rPr>
        <w:t>债</w:t>
      </w:r>
      <w:r w:rsidRPr="00BA6580">
        <w:rPr>
          <w:rFonts w:eastAsia="黑体" w:hint="eastAsia"/>
          <w:sz w:val="15"/>
          <w:szCs w:val="15"/>
        </w:rPr>
        <w:t>〔</w:t>
      </w:r>
      <w:r w:rsidRPr="00BA6580">
        <w:rPr>
          <w:rFonts w:eastAsia="黑体"/>
          <w:sz w:val="15"/>
          <w:szCs w:val="15"/>
        </w:rPr>
        <w:t>2015</w:t>
      </w:r>
      <w:r w:rsidRPr="00BA6580">
        <w:rPr>
          <w:rFonts w:eastAsia="黑体" w:hint="eastAsia"/>
          <w:sz w:val="15"/>
          <w:szCs w:val="15"/>
        </w:rPr>
        <w:t>〕</w:t>
      </w:r>
      <w:proofErr w:type="gramEnd"/>
      <w:r>
        <w:rPr>
          <w:rFonts w:eastAsia="黑体" w:hint="eastAsia"/>
          <w:sz w:val="15"/>
          <w:szCs w:val="15"/>
        </w:rPr>
        <w:t>47</w:t>
      </w:r>
      <w:r w:rsidRPr="00BA6580">
        <w:rPr>
          <w:rFonts w:eastAsia="黑体" w:hint="eastAsia"/>
          <w:sz w:val="15"/>
          <w:szCs w:val="15"/>
        </w:rPr>
        <w:t>号）</w:t>
      </w:r>
      <w:r>
        <w:rPr>
          <w:rFonts w:eastAsia="黑体" w:hint="eastAsia"/>
          <w:sz w:val="15"/>
          <w:szCs w:val="15"/>
        </w:rPr>
        <w:t>，</w:t>
      </w:r>
      <w:r w:rsidRPr="00BA6580">
        <w:rPr>
          <w:rFonts w:eastAsia="黑体" w:hint="eastAsia"/>
          <w:sz w:val="15"/>
          <w:szCs w:val="15"/>
        </w:rPr>
        <w:t>中债资信整理</w:t>
      </w:r>
    </w:p>
    <w:p w:rsidR="00486F91" w:rsidRDefault="00486F91" w:rsidP="00486F91">
      <w:pPr>
        <w:adjustRightInd w:val="0"/>
        <w:snapToGrid w:val="0"/>
        <w:spacing w:beforeLines="50" w:before="156" w:line="300" w:lineRule="auto"/>
        <w:ind w:rightChars="-26" w:right="-55"/>
        <w:jc w:val="center"/>
        <w:rPr>
          <w:rFonts w:eastAsia="黑体"/>
          <w:b/>
          <w:sz w:val="20"/>
          <w:szCs w:val="20"/>
        </w:rPr>
      </w:pPr>
      <w:r>
        <w:rPr>
          <w:rFonts w:eastAsia="黑体" w:hint="eastAsia"/>
          <w:b/>
          <w:sz w:val="20"/>
          <w:szCs w:val="20"/>
        </w:rPr>
        <w:t>表</w:t>
      </w:r>
      <w:r>
        <w:rPr>
          <w:rFonts w:eastAsia="黑体" w:hint="eastAsia"/>
          <w:b/>
          <w:sz w:val="20"/>
          <w:szCs w:val="20"/>
        </w:rPr>
        <w:t>5</w:t>
      </w:r>
      <w:r>
        <w:rPr>
          <w:rFonts w:eastAsia="黑体" w:hint="eastAsia"/>
          <w:b/>
          <w:sz w:val="20"/>
          <w:szCs w:val="20"/>
        </w:rPr>
        <w:t>：近年来江苏省政府债务规模</w:t>
      </w:r>
      <w:r w:rsidRPr="00E5260D">
        <w:rPr>
          <w:rFonts w:eastAsia="黑体"/>
          <w:b/>
          <w:sz w:val="20"/>
          <w:szCs w:val="20"/>
        </w:rPr>
        <w:t>情况</w:t>
      </w:r>
      <w:r>
        <w:rPr>
          <w:rFonts w:eastAsia="黑体" w:hint="eastAsia"/>
          <w:b/>
          <w:sz w:val="20"/>
          <w:szCs w:val="20"/>
        </w:rPr>
        <w:t>（单位：亿元）</w:t>
      </w:r>
    </w:p>
    <w:tbl>
      <w:tblPr>
        <w:tblW w:w="4944" w:type="pct"/>
        <w:tblBorders>
          <w:top w:val="single" w:sz="4" w:space="0" w:color="auto"/>
          <w:bottom w:val="single" w:sz="4" w:space="0" w:color="auto"/>
          <w:insideH w:val="single" w:sz="4" w:space="0" w:color="999999"/>
          <w:insideV w:val="single" w:sz="4" w:space="0" w:color="999999"/>
        </w:tblBorders>
        <w:tblLook w:val="04A0" w:firstRow="1" w:lastRow="0" w:firstColumn="1" w:lastColumn="0" w:noHBand="0" w:noVBand="1"/>
      </w:tblPr>
      <w:tblGrid>
        <w:gridCol w:w="3244"/>
        <w:gridCol w:w="1565"/>
        <w:gridCol w:w="1545"/>
        <w:gridCol w:w="1566"/>
        <w:gridCol w:w="1545"/>
      </w:tblGrid>
      <w:tr w:rsidR="00486F91" w:rsidRPr="00BA6580" w:rsidTr="0086308A">
        <w:trPr>
          <w:trHeight w:val="270"/>
          <w:tblHeader/>
        </w:trPr>
        <w:tc>
          <w:tcPr>
            <w:tcW w:w="1714" w:type="pct"/>
            <w:vMerge w:val="restart"/>
            <w:shd w:val="clear" w:color="auto" w:fill="0070C0"/>
            <w:noWrap/>
            <w:vAlign w:val="center"/>
            <w:hideMark/>
          </w:tcPr>
          <w:p w:rsidR="00486F91" w:rsidRPr="00BA6580" w:rsidRDefault="00486F91" w:rsidP="00A56527">
            <w:pPr>
              <w:spacing w:line="240" w:lineRule="exact"/>
              <w:jc w:val="center"/>
              <w:rPr>
                <w:b/>
                <w:color w:val="FFFFFF"/>
                <w:sz w:val="18"/>
                <w:szCs w:val="18"/>
              </w:rPr>
            </w:pPr>
            <w:r w:rsidRPr="00BA6580">
              <w:rPr>
                <w:rFonts w:hint="eastAsia"/>
                <w:b/>
                <w:color w:val="FFFFFF"/>
                <w:sz w:val="18"/>
                <w:szCs w:val="18"/>
              </w:rPr>
              <w:t>项目</w:t>
            </w:r>
          </w:p>
        </w:tc>
        <w:tc>
          <w:tcPr>
            <w:tcW w:w="1643" w:type="pct"/>
            <w:gridSpan w:val="2"/>
            <w:shd w:val="clear" w:color="auto" w:fill="0070C0"/>
          </w:tcPr>
          <w:p w:rsidR="00486F91" w:rsidRPr="00BA6580" w:rsidRDefault="00486F91" w:rsidP="00A56527">
            <w:pPr>
              <w:spacing w:line="240" w:lineRule="exact"/>
              <w:jc w:val="center"/>
              <w:rPr>
                <w:b/>
                <w:color w:val="FFFFFF"/>
                <w:sz w:val="18"/>
                <w:szCs w:val="18"/>
              </w:rPr>
            </w:pPr>
            <w:r w:rsidRPr="00BA6580">
              <w:rPr>
                <w:b/>
                <w:color w:val="FFFFFF"/>
                <w:sz w:val="18"/>
                <w:szCs w:val="18"/>
              </w:rPr>
              <w:t>2014</w:t>
            </w:r>
            <w:r w:rsidRPr="00BA6580">
              <w:rPr>
                <w:rFonts w:hint="eastAsia"/>
                <w:b/>
                <w:color w:val="FFFFFF"/>
                <w:sz w:val="18"/>
                <w:szCs w:val="18"/>
              </w:rPr>
              <w:t>年</w:t>
            </w:r>
          </w:p>
        </w:tc>
        <w:tc>
          <w:tcPr>
            <w:tcW w:w="1643" w:type="pct"/>
            <w:gridSpan w:val="2"/>
            <w:shd w:val="clear" w:color="auto" w:fill="0070C0"/>
          </w:tcPr>
          <w:p w:rsidR="00486F91" w:rsidRPr="00BA6580" w:rsidRDefault="00486F91" w:rsidP="00A56527">
            <w:pPr>
              <w:spacing w:line="240" w:lineRule="exact"/>
              <w:jc w:val="center"/>
              <w:rPr>
                <w:b/>
                <w:color w:val="FFFFFF"/>
                <w:sz w:val="18"/>
                <w:szCs w:val="18"/>
              </w:rPr>
            </w:pPr>
            <w:r w:rsidRPr="00BA6580">
              <w:rPr>
                <w:b/>
                <w:color w:val="FFFFFF"/>
                <w:sz w:val="18"/>
                <w:szCs w:val="18"/>
              </w:rPr>
              <w:t>2015</w:t>
            </w:r>
            <w:r w:rsidRPr="00BA6580">
              <w:rPr>
                <w:rFonts w:hint="eastAsia"/>
                <w:b/>
                <w:color w:val="FFFFFF"/>
                <w:sz w:val="18"/>
                <w:szCs w:val="18"/>
              </w:rPr>
              <w:t>年</w:t>
            </w:r>
          </w:p>
        </w:tc>
      </w:tr>
      <w:tr w:rsidR="00486F91" w:rsidRPr="00BA6580" w:rsidTr="0086308A">
        <w:trPr>
          <w:trHeight w:val="270"/>
          <w:tblHeader/>
        </w:trPr>
        <w:tc>
          <w:tcPr>
            <w:tcW w:w="1714" w:type="pct"/>
            <w:vMerge/>
            <w:shd w:val="clear" w:color="auto" w:fill="0070C0"/>
            <w:noWrap/>
            <w:hideMark/>
          </w:tcPr>
          <w:p w:rsidR="00486F91" w:rsidRPr="00BA6580" w:rsidRDefault="00486F91" w:rsidP="00A56527">
            <w:pPr>
              <w:spacing w:line="240" w:lineRule="exact"/>
              <w:rPr>
                <w:b/>
                <w:color w:val="FFFFFF"/>
                <w:sz w:val="18"/>
                <w:szCs w:val="18"/>
              </w:rPr>
            </w:pPr>
          </w:p>
        </w:tc>
        <w:tc>
          <w:tcPr>
            <w:tcW w:w="827" w:type="pct"/>
            <w:shd w:val="clear" w:color="auto" w:fill="0070C0"/>
            <w:vAlign w:val="center"/>
          </w:tcPr>
          <w:p w:rsidR="00486F91" w:rsidRPr="00C44F2A" w:rsidRDefault="00486F91" w:rsidP="00A56527">
            <w:pPr>
              <w:widowControl/>
              <w:jc w:val="center"/>
              <w:rPr>
                <w:rFonts w:ascii="宋体" w:hAnsi="宋体" w:cs="宋体"/>
                <w:b/>
                <w:bCs/>
                <w:color w:val="FFFFFF"/>
                <w:kern w:val="0"/>
                <w:sz w:val="18"/>
                <w:szCs w:val="18"/>
              </w:rPr>
            </w:pPr>
            <w:r w:rsidRPr="00C44F2A">
              <w:rPr>
                <w:rFonts w:ascii="宋体" w:hAnsi="宋体" w:cs="宋体" w:hint="eastAsia"/>
                <w:b/>
                <w:bCs/>
                <w:color w:val="FFFFFF"/>
                <w:kern w:val="0"/>
                <w:sz w:val="18"/>
                <w:szCs w:val="18"/>
              </w:rPr>
              <w:t>全</w:t>
            </w:r>
            <w:r>
              <w:rPr>
                <w:rFonts w:ascii="宋体" w:hAnsi="宋体" w:cs="宋体" w:hint="eastAsia"/>
                <w:b/>
                <w:bCs/>
                <w:color w:val="FFFFFF"/>
                <w:kern w:val="0"/>
                <w:sz w:val="18"/>
                <w:szCs w:val="18"/>
              </w:rPr>
              <w:t>省</w:t>
            </w:r>
          </w:p>
        </w:tc>
        <w:tc>
          <w:tcPr>
            <w:tcW w:w="816" w:type="pct"/>
            <w:shd w:val="clear" w:color="auto" w:fill="0070C0"/>
            <w:vAlign w:val="center"/>
          </w:tcPr>
          <w:p w:rsidR="00486F91" w:rsidRPr="00C44F2A" w:rsidRDefault="00486F91" w:rsidP="00A56527">
            <w:pPr>
              <w:widowControl/>
              <w:jc w:val="center"/>
              <w:rPr>
                <w:rFonts w:ascii="宋体" w:hAnsi="宋体" w:cs="宋体"/>
                <w:b/>
                <w:bCs/>
                <w:color w:val="FFFFFF"/>
                <w:kern w:val="0"/>
                <w:sz w:val="18"/>
                <w:szCs w:val="18"/>
              </w:rPr>
            </w:pPr>
            <w:r w:rsidRPr="00C44F2A">
              <w:rPr>
                <w:rFonts w:ascii="宋体" w:hAnsi="宋体" w:cs="宋体" w:hint="eastAsia"/>
                <w:b/>
                <w:bCs/>
                <w:color w:val="FFFFFF"/>
                <w:kern w:val="0"/>
                <w:sz w:val="18"/>
                <w:szCs w:val="18"/>
              </w:rPr>
              <w:t>本级</w:t>
            </w:r>
          </w:p>
        </w:tc>
        <w:tc>
          <w:tcPr>
            <w:tcW w:w="827" w:type="pct"/>
            <w:shd w:val="clear" w:color="auto" w:fill="0070C0"/>
            <w:vAlign w:val="center"/>
          </w:tcPr>
          <w:p w:rsidR="00486F91" w:rsidRPr="00C44F2A" w:rsidRDefault="00486F91" w:rsidP="00A56527">
            <w:pPr>
              <w:widowControl/>
              <w:jc w:val="center"/>
              <w:rPr>
                <w:rFonts w:ascii="宋体" w:hAnsi="宋体" w:cs="宋体"/>
                <w:b/>
                <w:bCs/>
                <w:color w:val="FFFFFF"/>
                <w:kern w:val="0"/>
                <w:sz w:val="18"/>
                <w:szCs w:val="18"/>
              </w:rPr>
            </w:pPr>
            <w:r>
              <w:rPr>
                <w:rFonts w:ascii="宋体" w:hAnsi="宋体" w:cs="宋体" w:hint="eastAsia"/>
                <w:b/>
                <w:bCs/>
                <w:color w:val="FFFFFF"/>
                <w:kern w:val="0"/>
                <w:sz w:val="18"/>
                <w:szCs w:val="18"/>
              </w:rPr>
              <w:t>全省</w:t>
            </w:r>
          </w:p>
        </w:tc>
        <w:tc>
          <w:tcPr>
            <w:tcW w:w="816" w:type="pct"/>
            <w:shd w:val="clear" w:color="auto" w:fill="0070C0"/>
            <w:vAlign w:val="center"/>
          </w:tcPr>
          <w:p w:rsidR="00486F91" w:rsidRPr="00C44F2A" w:rsidRDefault="00486F91" w:rsidP="00A56527">
            <w:pPr>
              <w:widowControl/>
              <w:jc w:val="center"/>
              <w:rPr>
                <w:rFonts w:ascii="宋体" w:hAnsi="宋体" w:cs="宋体"/>
                <w:b/>
                <w:bCs/>
                <w:color w:val="FFFFFF"/>
                <w:kern w:val="0"/>
                <w:sz w:val="18"/>
                <w:szCs w:val="18"/>
              </w:rPr>
            </w:pPr>
            <w:r w:rsidRPr="00C44F2A">
              <w:rPr>
                <w:rFonts w:ascii="宋体" w:hAnsi="宋体" w:cs="宋体" w:hint="eastAsia"/>
                <w:b/>
                <w:bCs/>
                <w:color w:val="FFFFFF"/>
                <w:kern w:val="0"/>
                <w:sz w:val="18"/>
                <w:szCs w:val="18"/>
              </w:rPr>
              <w:t>本级</w:t>
            </w:r>
          </w:p>
        </w:tc>
      </w:tr>
      <w:tr w:rsidR="00CD4711" w:rsidRPr="00BA6580" w:rsidTr="0086308A">
        <w:trPr>
          <w:trHeight w:val="300"/>
        </w:trPr>
        <w:tc>
          <w:tcPr>
            <w:tcW w:w="1714" w:type="pct"/>
            <w:shd w:val="clear" w:color="auto" w:fill="auto"/>
            <w:vAlign w:val="center"/>
          </w:tcPr>
          <w:p w:rsidR="00CD4711" w:rsidRPr="00BA6580" w:rsidRDefault="00CD4711" w:rsidP="00CD4711">
            <w:pPr>
              <w:spacing w:line="240" w:lineRule="exact"/>
              <w:rPr>
                <w:sz w:val="18"/>
                <w:szCs w:val="18"/>
              </w:rPr>
            </w:pPr>
            <w:r>
              <w:rPr>
                <w:rFonts w:hint="eastAsia"/>
                <w:sz w:val="18"/>
                <w:szCs w:val="18"/>
              </w:rPr>
              <w:t>政府</w:t>
            </w:r>
            <w:r w:rsidRPr="00BA6580">
              <w:rPr>
                <w:rFonts w:hint="eastAsia"/>
                <w:sz w:val="18"/>
                <w:szCs w:val="18"/>
              </w:rPr>
              <w:t>债务</w:t>
            </w:r>
          </w:p>
        </w:tc>
        <w:tc>
          <w:tcPr>
            <w:tcW w:w="827" w:type="pct"/>
            <w:shd w:val="clear" w:color="auto" w:fill="auto"/>
            <w:vAlign w:val="center"/>
          </w:tcPr>
          <w:p w:rsidR="00CD4711" w:rsidRPr="00C44F2A" w:rsidRDefault="00CD4711" w:rsidP="00CD4711">
            <w:pPr>
              <w:widowControl/>
              <w:jc w:val="center"/>
              <w:rPr>
                <w:color w:val="000000"/>
                <w:kern w:val="0"/>
                <w:sz w:val="18"/>
                <w:szCs w:val="18"/>
              </w:rPr>
            </w:pPr>
            <w:r>
              <w:rPr>
                <w:rFonts w:hint="eastAsia"/>
                <w:color w:val="000000"/>
                <w:kern w:val="0"/>
                <w:sz w:val="18"/>
                <w:szCs w:val="18"/>
              </w:rPr>
              <w:t>10,643.30</w:t>
            </w:r>
          </w:p>
        </w:tc>
        <w:tc>
          <w:tcPr>
            <w:tcW w:w="816" w:type="pct"/>
            <w:shd w:val="clear" w:color="auto" w:fill="auto"/>
            <w:vAlign w:val="center"/>
          </w:tcPr>
          <w:p w:rsidR="00CD4711" w:rsidRPr="00C44F2A" w:rsidRDefault="00CD4711" w:rsidP="00CD4711">
            <w:pPr>
              <w:widowControl/>
              <w:jc w:val="center"/>
              <w:rPr>
                <w:color w:val="000000"/>
                <w:kern w:val="0"/>
                <w:sz w:val="18"/>
                <w:szCs w:val="18"/>
              </w:rPr>
            </w:pPr>
            <w:r>
              <w:rPr>
                <w:rFonts w:hint="eastAsia"/>
                <w:color w:val="000000"/>
                <w:kern w:val="0"/>
                <w:sz w:val="18"/>
                <w:szCs w:val="18"/>
              </w:rPr>
              <w:t>598.16</w:t>
            </w:r>
          </w:p>
        </w:tc>
        <w:tc>
          <w:tcPr>
            <w:tcW w:w="827" w:type="pct"/>
            <w:shd w:val="clear" w:color="auto" w:fill="auto"/>
            <w:vAlign w:val="center"/>
          </w:tcPr>
          <w:p w:rsidR="00CD4711" w:rsidRPr="00C44F2A" w:rsidRDefault="00CD4711" w:rsidP="00CD4711">
            <w:pPr>
              <w:widowControl/>
              <w:jc w:val="center"/>
              <w:rPr>
                <w:color w:val="000000"/>
                <w:kern w:val="0"/>
                <w:sz w:val="18"/>
                <w:szCs w:val="18"/>
              </w:rPr>
            </w:pPr>
            <w:r>
              <w:rPr>
                <w:rFonts w:hint="eastAsia"/>
                <w:color w:val="000000"/>
                <w:kern w:val="0"/>
                <w:sz w:val="18"/>
                <w:szCs w:val="18"/>
              </w:rPr>
              <w:t>10,556.26</w:t>
            </w:r>
          </w:p>
        </w:tc>
        <w:tc>
          <w:tcPr>
            <w:tcW w:w="816" w:type="pct"/>
            <w:shd w:val="clear" w:color="auto" w:fill="auto"/>
            <w:vAlign w:val="center"/>
          </w:tcPr>
          <w:p w:rsidR="00CD4711" w:rsidRPr="001A6FAB" w:rsidRDefault="00CD4711" w:rsidP="00CD4711">
            <w:pPr>
              <w:widowControl/>
              <w:jc w:val="center"/>
              <w:rPr>
                <w:color w:val="000000"/>
                <w:kern w:val="0"/>
                <w:sz w:val="18"/>
                <w:szCs w:val="18"/>
              </w:rPr>
            </w:pPr>
            <w:r w:rsidRPr="001A6FAB">
              <w:rPr>
                <w:rFonts w:hint="eastAsia"/>
                <w:color w:val="000000"/>
                <w:kern w:val="0"/>
                <w:sz w:val="18"/>
                <w:szCs w:val="18"/>
              </w:rPr>
              <w:t>449.67</w:t>
            </w:r>
          </w:p>
        </w:tc>
      </w:tr>
      <w:tr w:rsidR="00CD4711" w:rsidRPr="00BA6580" w:rsidTr="0086308A">
        <w:trPr>
          <w:trHeight w:val="300"/>
        </w:trPr>
        <w:tc>
          <w:tcPr>
            <w:tcW w:w="1714" w:type="pct"/>
            <w:shd w:val="clear" w:color="auto" w:fill="D3EDFB"/>
            <w:vAlign w:val="center"/>
          </w:tcPr>
          <w:p w:rsidR="00CD4711" w:rsidRPr="00BA6580" w:rsidRDefault="00CD4711" w:rsidP="00A56527">
            <w:pPr>
              <w:spacing w:line="240" w:lineRule="exact"/>
              <w:rPr>
                <w:sz w:val="18"/>
                <w:szCs w:val="18"/>
              </w:rPr>
            </w:pPr>
            <w:r w:rsidRPr="00BA6580">
              <w:rPr>
                <w:rFonts w:hint="eastAsia"/>
                <w:sz w:val="18"/>
                <w:szCs w:val="18"/>
              </w:rPr>
              <w:t>其中：一般债务</w:t>
            </w:r>
          </w:p>
        </w:tc>
        <w:tc>
          <w:tcPr>
            <w:tcW w:w="827" w:type="pct"/>
            <w:shd w:val="clear" w:color="auto" w:fill="D3EDFB"/>
            <w:vAlign w:val="center"/>
          </w:tcPr>
          <w:p w:rsidR="00CD4711" w:rsidRPr="00C44F2A" w:rsidRDefault="00CD4711" w:rsidP="00A56527">
            <w:pPr>
              <w:widowControl/>
              <w:jc w:val="center"/>
              <w:rPr>
                <w:color w:val="000000"/>
                <w:kern w:val="0"/>
                <w:sz w:val="18"/>
                <w:szCs w:val="18"/>
              </w:rPr>
            </w:pPr>
            <w:r>
              <w:rPr>
                <w:rFonts w:hint="eastAsia"/>
                <w:sz w:val="18"/>
                <w:szCs w:val="18"/>
              </w:rPr>
              <w:t>6,264.24</w:t>
            </w:r>
          </w:p>
        </w:tc>
        <w:tc>
          <w:tcPr>
            <w:tcW w:w="816" w:type="pct"/>
            <w:shd w:val="clear" w:color="auto" w:fill="D3EDFB"/>
            <w:vAlign w:val="center"/>
          </w:tcPr>
          <w:p w:rsidR="00CD4711" w:rsidRPr="00C44F2A" w:rsidRDefault="00CD4711" w:rsidP="00A56527">
            <w:pPr>
              <w:widowControl/>
              <w:jc w:val="center"/>
              <w:rPr>
                <w:color w:val="000000"/>
                <w:kern w:val="0"/>
                <w:sz w:val="18"/>
                <w:szCs w:val="18"/>
              </w:rPr>
            </w:pPr>
            <w:r>
              <w:rPr>
                <w:rFonts w:hint="eastAsia"/>
                <w:sz w:val="18"/>
                <w:szCs w:val="18"/>
              </w:rPr>
              <w:t>597.35</w:t>
            </w:r>
          </w:p>
        </w:tc>
        <w:tc>
          <w:tcPr>
            <w:tcW w:w="827" w:type="pct"/>
            <w:shd w:val="clear" w:color="auto" w:fill="D3EDFB"/>
            <w:vAlign w:val="center"/>
          </w:tcPr>
          <w:p w:rsidR="00CD4711" w:rsidRPr="00C44F2A" w:rsidRDefault="00CD4711" w:rsidP="00A56527">
            <w:pPr>
              <w:widowControl/>
              <w:jc w:val="center"/>
              <w:rPr>
                <w:color w:val="000000"/>
                <w:kern w:val="0"/>
                <w:sz w:val="18"/>
                <w:szCs w:val="18"/>
              </w:rPr>
            </w:pPr>
            <w:r w:rsidRPr="00945D64">
              <w:rPr>
                <w:rFonts w:hint="eastAsia"/>
                <w:sz w:val="18"/>
                <w:szCs w:val="18"/>
              </w:rPr>
              <w:t>6</w:t>
            </w:r>
            <w:r>
              <w:rPr>
                <w:rFonts w:hint="eastAsia"/>
                <w:sz w:val="18"/>
                <w:szCs w:val="18"/>
              </w:rPr>
              <w:t>,</w:t>
            </w:r>
            <w:r w:rsidRPr="00945D64">
              <w:rPr>
                <w:rFonts w:hint="eastAsia"/>
                <w:sz w:val="18"/>
                <w:szCs w:val="18"/>
              </w:rPr>
              <w:t>249.23</w:t>
            </w:r>
          </w:p>
        </w:tc>
        <w:tc>
          <w:tcPr>
            <w:tcW w:w="816" w:type="pct"/>
            <w:shd w:val="clear" w:color="auto" w:fill="D3EDFB"/>
            <w:vAlign w:val="center"/>
          </w:tcPr>
          <w:p w:rsidR="00CD4711" w:rsidRPr="001A6FAB" w:rsidRDefault="00CD4711" w:rsidP="00A56527">
            <w:pPr>
              <w:widowControl/>
              <w:jc w:val="center"/>
              <w:rPr>
                <w:color w:val="000000"/>
                <w:kern w:val="0"/>
                <w:sz w:val="18"/>
                <w:szCs w:val="18"/>
              </w:rPr>
            </w:pPr>
            <w:r w:rsidRPr="001A6FAB">
              <w:rPr>
                <w:rFonts w:hint="eastAsia"/>
                <w:sz w:val="18"/>
                <w:szCs w:val="18"/>
              </w:rPr>
              <w:t>449.07</w:t>
            </w:r>
          </w:p>
        </w:tc>
      </w:tr>
      <w:tr w:rsidR="00CD4711" w:rsidRPr="00BA6580" w:rsidTr="0086308A">
        <w:trPr>
          <w:trHeight w:val="300"/>
        </w:trPr>
        <w:tc>
          <w:tcPr>
            <w:tcW w:w="1714" w:type="pct"/>
            <w:shd w:val="clear" w:color="auto" w:fill="auto"/>
            <w:vAlign w:val="center"/>
          </w:tcPr>
          <w:p w:rsidR="00CD4711" w:rsidRPr="00BA6580" w:rsidRDefault="00CD4711" w:rsidP="00A56527">
            <w:pPr>
              <w:spacing w:line="240" w:lineRule="exact"/>
              <w:rPr>
                <w:sz w:val="18"/>
                <w:szCs w:val="18"/>
              </w:rPr>
            </w:pPr>
            <w:r w:rsidRPr="00BA6580">
              <w:rPr>
                <w:sz w:val="18"/>
                <w:szCs w:val="18"/>
              </w:rPr>
              <w:t xml:space="preserve">      </w:t>
            </w:r>
            <w:r w:rsidRPr="00BA6580">
              <w:rPr>
                <w:rFonts w:hint="eastAsia"/>
                <w:sz w:val="18"/>
                <w:szCs w:val="18"/>
              </w:rPr>
              <w:t>专项债务</w:t>
            </w:r>
          </w:p>
        </w:tc>
        <w:tc>
          <w:tcPr>
            <w:tcW w:w="827" w:type="pct"/>
            <w:shd w:val="clear" w:color="auto" w:fill="auto"/>
            <w:vAlign w:val="center"/>
          </w:tcPr>
          <w:p w:rsidR="00CD4711" w:rsidRPr="00BA6580" w:rsidRDefault="00CD4711" w:rsidP="00A56527">
            <w:pPr>
              <w:jc w:val="center"/>
              <w:rPr>
                <w:sz w:val="18"/>
                <w:szCs w:val="18"/>
              </w:rPr>
            </w:pPr>
            <w:r>
              <w:rPr>
                <w:rFonts w:hint="eastAsia"/>
                <w:sz w:val="18"/>
                <w:szCs w:val="18"/>
              </w:rPr>
              <w:t>4,379.06</w:t>
            </w:r>
          </w:p>
        </w:tc>
        <w:tc>
          <w:tcPr>
            <w:tcW w:w="816" w:type="pct"/>
            <w:shd w:val="clear" w:color="auto" w:fill="auto"/>
            <w:vAlign w:val="center"/>
          </w:tcPr>
          <w:p w:rsidR="00CD4711" w:rsidRPr="00BA6580" w:rsidRDefault="00CD4711" w:rsidP="00A56527">
            <w:pPr>
              <w:jc w:val="center"/>
              <w:rPr>
                <w:sz w:val="18"/>
                <w:szCs w:val="18"/>
              </w:rPr>
            </w:pPr>
            <w:r>
              <w:rPr>
                <w:rFonts w:hint="eastAsia"/>
                <w:sz w:val="18"/>
                <w:szCs w:val="18"/>
              </w:rPr>
              <w:t>0.81</w:t>
            </w:r>
          </w:p>
        </w:tc>
        <w:tc>
          <w:tcPr>
            <w:tcW w:w="827" w:type="pct"/>
            <w:shd w:val="clear" w:color="auto" w:fill="auto"/>
            <w:vAlign w:val="center"/>
          </w:tcPr>
          <w:p w:rsidR="00CD4711" w:rsidRPr="00945D64" w:rsidRDefault="00CD4711" w:rsidP="00A56527">
            <w:pPr>
              <w:jc w:val="center"/>
              <w:rPr>
                <w:sz w:val="18"/>
                <w:szCs w:val="18"/>
              </w:rPr>
            </w:pPr>
            <w:r w:rsidRPr="00945D64">
              <w:rPr>
                <w:rFonts w:hint="eastAsia"/>
                <w:sz w:val="18"/>
                <w:szCs w:val="18"/>
              </w:rPr>
              <w:t>4</w:t>
            </w:r>
            <w:r>
              <w:rPr>
                <w:rFonts w:hint="eastAsia"/>
                <w:sz w:val="18"/>
                <w:szCs w:val="18"/>
              </w:rPr>
              <w:t>,</w:t>
            </w:r>
            <w:r w:rsidRPr="00945D64">
              <w:rPr>
                <w:rFonts w:hint="eastAsia"/>
                <w:sz w:val="18"/>
                <w:szCs w:val="18"/>
              </w:rPr>
              <w:t>307.03</w:t>
            </w:r>
          </w:p>
        </w:tc>
        <w:tc>
          <w:tcPr>
            <w:tcW w:w="816" w:type="pct"/>
            <w:shd w:val="clear" w:color="auto" w:fill="auto"/>
            <w:vAlign w:val="center"/>
          </w:tcPr>
          <w:p w:rsidR="00CD4711" w:rsidRPr="001A6FAB" w:rsidRDefault="00CD4711" w:rsidP="00A56527">
            <w:pPr>
              <w:jc w:val="center"/>
              <w:rPr>
                <w:sz w:val="18"/>
                <w:szCs w:val="18"/>
              </w:rPr>
            </w:pPr>
            <w:r w:rsidRPr="001A6FAB">
              <w:rPr>
                <w:rFonts w:hint="eastAsia"/>
                <w:sz w:val="18"/>
                <w:szCs w:val="18"/>
              </w:rPr>
              <w:t>0.6</w:t>
            </w:r>
            <w:r>
              <w:rPr>
                <w:rFonts w:hint="eastAsia"/>
                <w:sz w:val="18"/>
                <w:szCs w:val="18"/>
              </w:rPr>
              <w:t>0</w:t>
            </w:r>
          </w:p>
        </w:tc>
      </w:tr>
      <w:tr w:rsidR="00CD4711" w:rsidRPr="00BA6580" w:rsidTr="0086308A">
        <w:trPr>
          <w:trHeight w:val="300"/>
        </w:trPr>
        <w:tc>
          <w:tcPr>
            <w:tcW w:w="1714" w:type="pct"/>
            <w:shd w:val="clear" w:color="auto" w:fill="D3EDFB"/>
            <w:vAlign w:val="center"/>
          </w:tcPr>
          <w:p w:rsidR="00CD4711" w:rsidRPr="00BA6580" w:rsidRDefault="00CD4711" w:rsidP="00A56527">
            <w:pPr>
              <w:spacing w:line="240" w:lineRule="exact"/>
              <w:rPr>
                <w:sz w:val="18"/>
                <w:szCs w:val="18"/>
              </w:rPr>
            </w:pPr>
            <w:r>
              <w:rPr>
                <w:rFonts w:hint="eastAsia"/>
                <w:sz w:val="18"/>
                <w:szCs w:val="18"/>
              </w:rPr>
              <w:t>或有</w:t>
            </w:r>
            <w:r w:rsidRPr="00701172">
              <w:rPr>
                <w:rFonts w:hint="eastAsia"/>
                <w:sz w:val="18"/>
                <w:szCs w:val="18"/>
              </w:rPr>
              <w:t>债务</w:t>
            </w:r>
          </w:p>
        </w:tc>
        <w:tc>
          <w:tcPr>
            <w:tcW w:w="827" w:type="pct"/>
            <w:shd w:val="clear" w:color="auto" w:fill="D3EDFB"/>
            <w:vAlign w:val="center"/>
          </w:tcPr>
          <w:p w:rsidR="00CD4711" w:rsidRPr="00BA6580" w:rsidRDefault="00CD4711" w:rsidP="00A56527">
            <w:pPr>
              <w:jc w:val="center"/>
              <w:rPr>
                <w:sz w:val="18"/>
                <w:szCs w:val="18"/>
              </w:rPr>
            </w:pPr>
            <w:r>
              <w:rPr>
                <w:rFonts w:hint="eastAsia"/>
                <w:sz w:val="18"/>
                <w:szCs w:val="18"/>
              </w:rPr>
              <w:t>7,093.66</w:t>
            </w:r>
          </w:p>
        </w:tc>
        <w:tc>
          <w:tcPr>
            <w:tcW w:w="816" w:type="pct"/>
            <w:shd w:val="clear" w:color="auto" w:fill="D3EDFB"/>
            <w:vAlign w:val="center"/>
          </w:tcPr>
          <w:p w:rsidR="00CD4711" w:rsidRPr="00BA6580" w:rsidRDefault="00CD4711" w:rsidP="00A56527">
            <w:pPr>
              <w:jc w:val="center"/>
              <w:rPr>
                <w:sz w:val="18"/>
                <w:szCs w:val="18"/>
              </w:rPr>
            </w:pPr>
            <w:r>
              <w:rPr>
                <w:rFonts w:hint="eastAsia"/>
                <w:sz w:val="18"/>
                <w:szCs w:val="18"/>
              </w:rPr>
              <w:t>490.00</w:t>
            </w:r>
          </w:p>
        </w:tc>
        <w:tc>
          <w:tcPr>
            <w:tcW w:w="827" w:type="pct"/>
            <w:shd w:val="clear" w:color="auto" w:fill="D3EDFB"/>
            <w:vAlign w:val="center"/>
          </w:tcPr>
          <w:p w:rsidR="00CD4711" w:rsidRPr="00945D64" w:rsidRDefault="00CD4711" w:rsidP="00A56527">
            <w:pPr>
              <w:jc w:val="center"/>
              <w:rPr>
                <w:sz w:val="18"/>
                <w:szCs w:val="18"/>
              </w:rPr>
            </w:pPr>
            <w:r w:rsidRPr="00945D64">
              <w:rPr>
                <w:rFonts w:hint="eastAsia"/>
                <w:sz w:val="18"/>
                <w:szCs w:val="18"/>
              </w:rPr>
              <w:t>7</w:t>
            </w:r>
            <w:r>
              <w:rPr>
                <w:rFonts w:hint="eastAsia"/>
                <w:sz w:val="18"/>
                <w:szCs w:val="18"/>
              </w:rPr>
              <w:t>,</w:t>
            </w:r>
            <w:r w:rsidRPr="00945D64">
              <w:rPr>
                <w:rFonts w:hint="eastAsia"/>
                <w:sz w:val="18"/>
                <w:szCs w:val="18"/>
              </w:rPr>
              <w:t>569.42</w:t>
            </w:r>
          </w:p>
        </w:tc>
        <w:tc>
          <w:tcPr>
            <w:tcW w:w="816" w:type="pct"/>
            <w:shd w:val="clear" w:color="auto" w:fill="D3EDFB"/>
            <w:vAlign w:val="center"/>
          </w:tcPr>
          <w:p w:rsidR="00CD4711" w:rsidRPr="001A6FAB" w:rsidRDefault="00CD4711" w:rsidP="00A56527">
            <w:pPr>
              <w:jc w:val="center"/>
              <w:rPr>
                <w:sz w:val="18"/>
                <w:szCs w:val="18"/>
              </w:rPr>
            </w:pPr>
            <w:r>
              <w:rPr>
                <w:rFonts w:hint="eastAsia"/>
                <w:sz w:val="18"/>
                <w:szCs w:val="18"/>
              </w:rPr>
              <w:t>458.84</w:t>
            </w:r>
          </w:p>
        </w:tc>
      </w:tr>
    </w:tbl>
    <w:p w:rsidR="00486F91" w:rsidRPr="001A6CD6" w:rsidRDefault="00486F91" w:rsidP="0086308A">
      <w:pPr>
        <w:widowControl/>
        <w:tabs>
          <w:tab w:val="num" w:pos="426"/>
        </w:tabs>
        <w:spacing w:afterLines="50" w:after="156" w:line="240" w:lineRule="exact"/>
        <w:ind w:leftChars="-53" w:hangingChars="74" w:hanging="111"/>
        <w:rPr>
          <w:rFonts w:eastAsia="黑体"/>
          <w:sz w:val="15"/>
          <w:szCs w:val="15"/>
        </w:rPr>
      </w:pPr>
      <w:r w:rsidRPr="002628A2">
        <w:rPr>
          <w:rFonts w:eastAsia="黑体"/>
          <w:sz w:val="15"/>
          <w:szCs w:val="15"/>
        </w:rPr>
        <w:t>资料来源：</w:t>
      </w:r>
      <w:r>
        <w:rPr>
          <w:rFonts w:eastAsia="黑体" w:hint="eastAsia"/>
          <w:sz w:val="15"/>
          <w:szCs w:val="15"/>
        </w:rPr>
        <w:t>江苏省财政厅</w:t>
      </w:r>
      <w:r w:rsidRPr="002628A2">
        <w:rPr>
          <w:rFonts w:eastAsia="黑体" w:hint="eastAsia"/>
          <w:sz w:val="15"/>
          <w:szCs w:val="15"/>
        </w:rPr>
        <w:t>提供</w:t>
      </w:r>
      <w:r>
        <w:rPr>
          <w:rFonts w:eastAsia="黑体" w:hint="eastAsia"/>
          <w:sz w:val="15"/>
          <w:szCs w:val="15"/>
        </w:rPr>
        <w:t>，</w:t>
      </w:r>
      <w:r w:rsidRPr="00BA6580">
        <w:rPr>
          <w:rFonts w:eastAsia="黑体" w:hint="eastAsia"/>
          <w:sz w:val="15"/>
          <w:szCs w:val="15"/>
        </w:rPr>
        <w:t>中债资信整理</w:t>
      </w:r>
    </w:p>
    <w:p w:rsidR="00486F91" w:rsidRPr="00094226" w:rsidRDefault="00486F91" w:rsidP="00486F91">
      <w:pPr>
        <w:spacing w:line="300" w:lineRule="auto"/>
      </w:pPr>
      <w:r w:rsidRPr="00094226">
        <w:tab/>
      </w:r>
      <w:r w:rsidRPr="001A6CD6">
        <w:rPr>
          <w:rFonts w:hint="eastAsia"/>
          <w:b/>
        </w:rPr>
        <w:t>政府债务率指标较好，债务逾期率很低。</w:t>
      </w:r>
      <w:r w:rsidR="00936580" w:rsidRPr="00195298">
        <w:rPr>
          <w:rFonts w:hint="eastAsia"/>
        </w:rPr>
        <w:t>截至</w:t>
      </w:r>
      <w:r w:rsidR="00936580" w:rsidRPr="00195298">
        <w:t>201</w:t>
      </w:r>
      <w:r w:rsidR="00936580" w:rsidRPr="00A4336D">
        <w:t>5</w:t>
      </w:r>
      <w:r w:rsidR="00936580" w:rsidRPr="00A4336D">
        <w:rPr>
          <w:rFonts w:hint="eastAsia"/>
        </w:rPr>
        <w:t>年</w:t>
      </w:r>
      <w:r w:rsidR="00936580">
        <w:rPr>
          <w:rFonts w:hint="eastAsia"/>
        </w:rPr>
        <w:t>末江苏省政府债务率为</w:t>
      </w:r>
      <w:r w:rsidR="00936580">
        <w:rPr>
          <w:rFonts w:hint="eastAsia"/>
        </w:rPr>
        <w:t>68.50%</w:t>
      </w:r>
      <w:r w:rsidR="00936580">
        <w:rPr>
          <w:rFonts w:hint="eastAsia"/>
        </w:rPr>
        <w:t>，</w:t>
      </w:r>
      <w:r w:rsidRPr="00A95F6F">
        <w:rPr>
          <w:rFonts w:hint="eastAsia"/>
        </w:rPr>
        <w:t>与国际货币基金组织确定的债务率控制标准参考值</w:t>
      </w:r>
      <w:r w:rsidRPr="00A95F6F">
        <w:t>90~150%</w:t>
      </w:r>
      <w:r w:rsidRPr="00A95F6F">
        <w:rPr>
          <w:rFonts w:hint="eastAsia"/>
        </w:rPr>
        <w:t>相比，处于较好水平</w:t>
      </w:r>
      <w:r w:rsidR="00936580">
        <w:rPr>
          <w:rFonts w:hint="eastAsia"/>
        </w:rPr>
        <w:t>，</w:t>
      </w:r>
      <w:r>
        <w:rPr>
          <w:rFonts w:hint="eastAsia"/>
        </w:rPr>
        <w:t>债务风险总体可控</w:t>
      </w:r>
      <w:r w:rsidRPr="00A95F6F">
        <w:rPr>
          <w:rFonts w:hint="eastAsia"/>
        </w:rPr>
        <w:t>。债务短期内到期规模较大，但未来</w:t>
      </w:r>
      <w:r>
        <w:rPr>
          <w:rFonts w:hint="eastAsia"/>
        </w:rPr>
        <w:t>债务期限结构将趋于合理化</w:t>
      </w:r>
      <w:r w:rsidRPr="00A95F6F">
        <w:rPr>
          <w:rFonts w:hint="eastAsia"/>
        </w:rPr>
        <w:t>。</w:t>
      </w:r>
      <w:r>
        <w:rPr>
          <w:rFonts w:hint="eastAsia"/>
        </w:rPr>
        <w:t>根据江苏省财政厅提供的资料，</w:t>
      </w:r>
      <w:r w:rsidRPr="00A95F6F">
        <w:t>201</w:t>
      </w:r>
      <w:r>
        <w:rPr>
          <w:rFonts w:hint="eastAsia"/>
        </w:rPr>
        <w:t>6</w:t>
      </w:r>
      <w:r w:rsidRPr="00A95F6F">
        <w:rPr>
          <w:rFonts w:hint="eastAsia"/>
        </w:rPr>
        <w:t>年江苏省政府债务到期额为</w:t>
      </w:r>
      <w:r w:rsidR="00454249">
        <w:rPr>
          <w:rFonts w:hint="eastAsia"/>
        </w:rPr>
        <w:t>2,106.97</w:t>
      </w:r>
      <w:r w:rsidRPr="00A95F6F">
        <w:rPr>
          <w:rFonts w:hint="eastAsia"/>
        </w:rPr>
        <w:t>亿元</w:t>
      </w:r>
      <w:r w:rsidRPr="00AB7F01">
        <w:rPr>
          <w:rFonts w:hint="eastAsia"/>
        </w:rPr>
        <w:t>，</w:t>
      </w:r>
      <w:r>
        <w:rPr>
          <w:rFonts w:hint="eastAsia"/>
        </w:rPr>
        <w:t>2016</w:t>
      </w:r>
      <w:r>
        <w:rPr>
          <w:rFonts w:hint="eastAsia"/>
        </w:rPr>
        <w:t>年江苏省第一批用于置换存量债务的地方政府债券额度为</w:t>
      </w:r>
      <w:r>
        <w:rPr>
          <w:rFonts w:hint="eastAsia"/>
        </w:rPr>
        <w:t>1,136</w:t>
      </w:r>
      <w:r>
        <w:rPr>
          <w:rFonts w:hint="eastAsia"/>
        </w:rPr>
        <w:t>亿元（其中一般债券额度为</w:t>
      </w:r>
      <w:r w:rsidRPr="009B52EC">
        <w:t>608.6</w:t>
      </w:r>
      <w:r>
        <w:rPr>
          <w:rFonts w:hint="eastAsia"/>
        </w:rPr>
        <w:t>亿元，专项债券额度为</w:t>
      </w:r>
      <w:r w:rsidRPr="009B52EC">
        <w:t>527.4</w:t>
      </w:r>
      <w:r>
        <w:rPr>
          <w:rFonts w:hint="eastAsia"/>
        </w:rPr>
        <w:t>亿元），占到期债务的比例为</w:t>
      </w:r>
      <w:r w:rsidR="00454249">
        <w:rPr>
          <w:rFonts w:hint="eastAsia"/>
        </w:rPr>
        <w:t>53.92</w:t>
      </w:r>
      <w:r>
        <w:rPr>
          <w:rFonts w:hint="eastAsia"/>
        </w:rPr>
        <w:t>%</w:t>
      </w:r>
      <w:r>
        <w:rPr>
          <w:rFonts w:hint="eastAsia"/>
        </w:rPr>
        <w:t>，而二、三批的置换债券能够进一步缓解其债务周转压力；</w:t>
      </w:r>
      <w:r w:rsidRPr="00A95F6F">
        <w:t>201</w:t>
      </w:r>
      <w:r>
        <w:rPr>
          <w:rFonts w:hint="eastAsia"/>
        </w:rPr>
        <w:t>9</w:t>
      </w:r>
      <w:r w:rsidRPr="00A95F6F">
        <w:rPr>
          <w:rFonts w:hint="eastAsia"/>
        </w:rPr>
        <w:t>年之后偿债压力将大幅缓释。此外，</w:t>
      </w:r>
      <w:r w:rsidRPr="00556C94">
        <w:rPr>
          <w:rFonts w:hint="eastAsia"/>
        </w:rPr>
        <w:t>2015</w:t>
      </w:r>
      <w:r w:rsidRPr="00556C94">
        <w:rPr>
          <w:rFonts w:hint="eastAsia"/>
        </w:rPr>
        <w:t>年底江苏省政府债务中的逾期债务</w:t>
      </w:r>
      <w:r>
        <w:rPr>
          <w:rFonts w:hint="eastAsia"/>
        </w:rPr>
        <w:t>为</w:t>
      </w:r>
      <w:r w:rsidRPr="00556C94">
        <w:rPr>
          <w:rFonts w:hint="eastAsia"/>
        </w:rPr>
        <w:t>36.10</w:t>
      </w:r>
      <w:r w:rsidRPr="00556C94">
        <w:rPr>
          <w:rFonts w:hint="eastAsia"/>
        </w:rPr>
        <w:t>亿元，或有债务</w:t>
      </w:r>
      <w:r>
        <w:rPr>
          <w:rFonts w:hint="eastAsia"/>
        </w:rPr>
        <w:t>中</w:t>
      </w:r>
      <w:r w:rsidRPr="00556C94">
        <w:rPr>
          <w:rFonts w:hint="eastAsia"/>
        </w:rPr>
        <w:t>的逾期</w:t>
      </w:r>
      <w:r>
        <w:rPr>
          <w:rFonts w:hint="eastAsia"/>
        </w:rPr>
        <w:t>债务为</w:t>
      </w:r>
      <w:r w:rsidR="005E584C" w:rsidRPr="005E584C">
        <w:rPr>
          <w:rFonts w:hint="eastAsia"/>
        </w:rPr>
        <w:t>196.32</w:t>
      </w:r>
      <w:r w:rsidRPr="005E584C">
        <w:rPr>
          <w:rFonts w:hint="eastAsia"/>
        </w:rPr>
        <w:t>亿</w:t>
      </w:r>
      <w:r w:rsidRPr="00556C94">
        <w:rPr>
          <w:rFonts w:hint="eastAsia"/>
        </w:rPr>
        <w:t>元</w:t>
      </w:r>
      <w:r w:rsidRPr="00A95F6F">
        <w:rPr>
          <w:rFonts w:hint="eastAsia"/>
        </w:rPr>
        <w:t>，</w:t>
      </w:r>
      <w:r>
        <w:rPr>
          <w:rFonts w:hint="eastAsia"/>
        </w:rPr>
        <w:t>逾期率分别为</w:t>
      </w:r>
      <w:r>
        <w:rPr>
          <w:rFonts w:hint="eastAsia"/>
        </w:rPr>
        <w:lastRenderedPageBreak/>
        <w:t>0.34%</w:t>
      </w:r>
      <w:r>
        <w:rPr>
          <w:rFonts w:hint="eastAsia"/>
        </w:rPr>
        <w:t>和</w:t>
      </w:r>
      <w:r>
        <w:rPr>
          <w:rFonts w:hint="eastAsia"/>
        </w:rPr>
        <w:t>2.59%</w:t>
      </w:r>
      <w:r>
        <w:rPr>
          <w:rFonts w:hint="eastAsia"/>
        </w:rPr>
        <w:t>，</w:t>
      </w:r>
      <w:r w:rsidRPr="00A95F6F">
        <w:rPr>
          <w:rFonts w:hint="eastAsia"/>
        </w:rPr>
        <w:t>处于全国各省</w:t>
      </w:r>
      <w:r>
        <w:rPr>
          <w:rFonts w:hint="eastAsia"/>
        </w:rPr>
        <w:t>（自治</w:t>
      </w:r>
      <w:r w:rsidRPr="00A95F6F">
        <w:rPr>
          <w:rFonts w:hint="eastAsia"/>
        </w:rPr>
        <w:t>区</w:t>
      </w:r>
      <w:r>
        <w:rPr>
          <w:rFonts w:hint="eastAsia"/>
        </w:rPr>
        <w:t>）</w:t>
      </w:r>
      <w:r w:rsidRPr="00A95F6F">
        <w:rPr>
          <w:rFonts w:hint="eastAsia"/>
        </w:rPr>
        <w:t>较低水平</w:t>
      </w:r>
      <w:r>
        <w:rPr>
          <w:rFonts w:hint="eastAsia"/>
        </w:rPr>
        <w:t>。</w:t>
      </w:r>
    </w:p>
    <w:p w:rsidR="00486F91" w:rsidRDefault="00486F91" w:rsidP="00486F91">
      <w:pPr>
        <w:spacing w:line="300" w:lineRule="auto"/>
        <w:ind w:firstLine="420"/>
        <w:rPr>
          <w:bCs/>
        </w:rPr>
      </w:pPr>
      <w:r w:rsidRPr="00094226">
        <w:rPr>
          <w:b/>
        </w:rPr>
        <w:t>国有资产对政府债务偿还和周转提供流动性。</w:t>
      </w:r>
      <w:r w:rsidRPr="00D27E93">
        <w:rPr>
          <w:rFonts w:hint="eastAsia"/>
          <w:bCs/>
        </w:rPr>
        <w:t>根据江苏省</w:t>
      </w:r>
      <w:r w:rsidRPr="002628A2">
        <w:rPr>
          <w:rFonts w:hint="eastAsia"/>
          <w:bCs/>
        </w:rPr>
        <w:t>财务快报显示</w:t>
      </w:r>
      <w:r w:rsidRPr="00D27E93">
        <w:rPr>
          <w:rFonts w:hint="eastAsia"/>
          <w:bCs/>
        </w:rPr>
        <w:t>，截至</w:t>
      </w:r>
      <w:r w:rsidRPr="003F0170">
        <w:rPr>
          <w:bCs/>
        </w:rPr>
        <w:t>201</w:t>
      </w:r>
      <w:r w:rsidRPr="002628A2">
        <w:rPr>
          <w:bCs/>
        </w:rPr>
        <w:t>5</w:t>
      </w:r>
      <w:r w:rsidRPr="00D27E93">
        <w:rPr>
          <w:rFonts w:hint="eastAsia"/>
          <w:bCs/>
        </w:rPr>
        <w:t>年末，</w:t>
      </w:r>
      <w:r w:rsidRPr="002628A2">
        <w:rPr>
          <w:rFonts w:hint="eastAsia"/>
          <w:bCs/>
        </w:rPr>
        <w:t>江苏省、市国资委监管企业资产总额达</w:t>
      </w:r>
      <w:r w:rsidRPr="002628A2">
        <w:rPr>
          <w:bCs/>
        </w:rPr>
        <w:t>4.20</w:t>
      </w:r>
      <w:proofErr w:type="gramStart"/>
      <w:r w:rsidRPr="002628A2">
        <w:rPr>
          <w:rFonts w:hint="eastAsia"/>
          <w:bCs/>
        </w:rPr>
        <w:t>万亿</w:t>
      </w:r>
      <w:proofErr w:type="gramEnd"/>
      <w:r w:rsidRPr="002628A2">
        <w:rPr>
          <w:rFonts w:hint="eastAsia"/>
          <w:bCs/>
        </w:rPr>
        <w:t>元</w:t>
      </w:r>
      <w:r w:rsidRPr="005367BF">
        <w:rPr>
          <w:rFonts w:hint="eastAsia"/>
          <w:bCs/>
        </w:rPr>
        <w:t>，</w:t>
      </w:r>
      <w:r w:rsidRPr="002628A2">
        <w:rPr>
          <w:rFonts w:hint="eastAsia"/>
          <w:bCs/>
        </w:rPr>
        <w:t>归属于母公司所有者权益达</w:t>
      </w:r>
      <w:r w:rsidRPr="002628A2">
        <w:rPr>
          <w:bCs/>
        </w:rPr>
        <w:t>1.17</w:t>
      </w:r>
      <w:proofErr w:type="gramStart"/>
      <w:r w:rsidRPr="002628A2">
        <w:rPr>
          <w:rFonts w:hint="eastAsia"/>
          <w:bCs/>
        </w:rPr>
        <w:t>万亿</w:t>
      </w:r>
      <w:proofErr w:type="gramEnd"/>
      <w:r w:rsidRPr="002628A2">
        <w:rPr>
          <w:rFonts w:hint="eastAsia"/>
          <w:bCs/>
        </w:rPr>
        <w:t>元</w:t>
      </w:r>
      <w:r w:rsidRPr="005367BF">
        <w:rPr>
          <w:rFonts w:hint="eastAsia"/>
          <w:bCs/>
        </w:rPr>
        <w:t>，同比分别增长</w:t>
      </w:r>
      <w:r w:rsidRPr="002628A2">
        <w:rPr>
          <w:bCs/>
        </w:rPr>
        <w:t>21.90</w:t>
      </w:r>
      <w:r w:rsidRPr="003F0170">
        <w:rPr>
          <w:bCs/>
        </w:rPr>
        <w:t>%</w:t>
      </w:r>
      <w:r w:rsidRPr="003F0170">
        <w:rPr>
          <w:rFonts w:hint="eastAsia"/>
          <w:bCs/>
        </w:rPr>
        <w:t>和</w:t>
      </w:r>
      <w:r w:rsidRPr="002628A2">
        <w:rPr>
          <w:bCs/>
        </w:rPr>
        <w:t>11.90</w:t>
      </w:r>
      <w:r w:rsidRPr="003F0170">
        <w:rPr>
          <w:bCs/>
        </w:rPr>
        <w:t>%</w:t>
      </w:r>
      <w:r w:rsidRPr="003F0170">
        <w:rPr>
          <w:rFonts w:hint="eastAsia"/>
          <w:bCs/>
        </w:rPr>
        <w:t>，其中</w:t>
      </w:r>
      <w:r w:rsidRPr="002628A2">
        <w:rPr>
          <w:rFonts w:hint="eastAsia"/>
          <w:bCs/>
        </w:rPr>
        <w:t>省属企业资产总额达</w:t>
      </w:r>
      <w:r w:rsidRPr="002628A2">
        <w:rPr>
          <w:bCs/>
        </w:rPr>
        <w:t>1.10</w:t>
      </w:r>
      <w:proofErr w:type="gramStart"/>
      <w:r w:rsidRPr="002628A2">
        <w:rPr>
          <w:rFonts w:hint="eastAsia"/>
          <w:bCs/>
        </w:rPr>
        <w:t>万亿</w:t>
      </w:r>
      <w:proofErr w:type="gramEnd"/>
      <w:r w:rsidRPr="002628A2">
        <w:rPr>
          <w:rFonts w:hint="eastAsia"/>
          <w:bCs/>
        </w:rPr>
        <w:t>元</w:t>
      </w:r>
      <w:r w:rsidRPr="005367BF">
        <w:rPr>
          <w:rFonts w:hint="eastAsia"/>
          <w:bCs/>
        </w:rPr>
        <w:t>，归属母公司所有者权益达</w:t>
      </w:r>
      <w:r w:rsidRPr="002628A2">
        <w:rPr>
          <w:bCs/>
        </w:rPr>
        <w:t>1,969.90</w:t>
      </w:r>
      <w:r w:rsidRPr="003F0170">
        <w:rPr>
          <w:rFonts w:hint="eastAsia"/>
          <w:bCs/>
        </w:rPr>
        <w:t>亿元，分别同比增长</w:t>
      </w:r>
      <w:r w:rsidRPr="002628A2">
        <w:rPr>
          <w:bCs/>
        </w:rPr>
        <w:t>40.10</w:t>
      </w:r>
      <w:r w:rsidRPr="003F0170">
        <w:rPr>
          <w:bCs/>
        </w:rPr>
        <w:t>%</w:t>
      </w:r>
      <w:r w:rsidRPr="003F0170">
        <w:rPr>
          <w:rFonts w:hint="eastAsia"/>
          <w:bCs/>
        </w:rPr>
        <w:t>和</w:t>
      </w:r>
      <w:r w:rsidRPr="002628A2">
        <w:rPr>
          <w:bCs/>
        </w:rPr>
        <w:t>12.90</w:t>
      </w:r>
      <w:r w:rsidRPr="003F0170">
        <w:rPr>
          <w:bCs/>
        </w:rPr>
        <w:t>%</w:t>
      </w:r>
      <w:r w:rsidRPr="003F0170">
        <w:rPr>
          <w:bCs/>
        </w:rPr>
        <w:t>；江苏省各级政府</w:t>
      </w:r>
      <w:r w:rsidRPr="00094226">
        <w:rPr>
          <w:bCs/>
        </w:rPr>
        <w:t>通过直接或间接持股，</w:t>
      </w:r>
      <w:r w:rsidRPr="00327F28">
        <w:rPr>
          <w:rFonts w:hint="eastAsia"/>
          <w:bCs/>
        </w:rPr>
        <w:t>作为最终控制人的上市公司有</w:t>
      </w:r>
      <w:r w:rsidRPr="00327F28">
        <w:rPr>
          <w:rFonts w:hint="eastAsia"/>
          <w:bCs/>
        </w:rPr>
        <w:t>4</w:t>
      </w:r>
      <w:r>
        <w:rPr>
          <w:rFonts w:hint="eastAsia"/>
          <w:bCs/>
        </w:rPr>
        <w:t>1</w:t>
      </w:r>
      <w:r w:rsidRPr="00327F28">
        <w:rPr>
          <w:rFonts w:hint="eastAsia"/>
          <w:bCs/>
        </w:rPr>
        <w:t>家，</w:t>
      </w:r>
      <w:r w:rsidRPr="0085792E">
        <w:rPr>
          <w:rFonts w:hint="eastAsia"/>
          <w:bCs/>
        </w:rPr>
        <w:t>中债资信选取</w:t>
      </w:r>
      <w:r w:rsidRPr="0085792E">
        <w:rPr>
          <w:rFonts w:hint="eastAsia"/>
          <w:bCs/>
        </w:rPr>
        <w:t>201</w:t>
      </w:r>
      <w:r>
        <w:rPr>
          <w:rFonts w:hint="eastAsia"/>
          <w:bCs/>
        </w:rPr>
        <w:t>6</w:t>
      </w:r>
      <w:r w:rsidRPr="0085792E">
        <w:rPr>
          <w:rFonts w:hint="eastAsia"/>
          <w:bCs/>
        </w:rPr>
        <w:t>年</w:t>
      </w:r>
      <w:r>
        <w:rPr>
          <w:rFonts w:hint="eastAsia"/>
          <w:bCs/>
        </w:rPr>
        <w:t>1</w:t>
      </w:r>
      <w:r w:rsidRPr="0085792E">
        <w:rPr>
          <w:rFonts w:hint="eastAsia"/>
          <w:bCs/>
        </w:rPr>
        <w:t>月</w:t>
      </w:r>
      <w:r>
        <w:rPr>
          <w:rFonts w:hint="eastAsia"/>
          <w:bCs/>
        </w:rPr>
        <w:t>31</w:t>
      </w:r>
      <w:r w:rsidRPr="0085792E">
        <w:rPr>
          <w:rFonts w:hint="eastAsia"/>
          <w:bCs/>
        </w:rPr>
        <w:t>日前</w:t>
      </w:r>
      <w:r w:rsidRPr="0085792E">
        <w:rPr>
          <w:rFonts w:hint="eastAsia"/>
          <w:bCs/>
        </w:rPr>
        <w:t>30</w:t>
      </w:r>
      <w:r w:rsidRPr="0085792E">
        <w:rPr>
          <w:rFonts w:hint="eastAsia"/>
          <w:bCs/>
        </w:rPr>
        <w:t>个交易日均值计算，上述</w:t>
      </w:r>
      <w:r w:rsidRPr="0085792E">
        <w:rPr>
          <w:rFonts w:hint="eastAsia"/>
          <w:bCs/>
        </w:rPr>
        <w:t>4</w:t>
      </w:r>
      <w:r>
        <w:rPr>
          <w:rFonts w:hint="eastAsia"/>
          <w:bCs/>
        </w:rPr>
        <w:t>1</w:t>
      </w:r>
      <w:r w:rsidRPr="0085792E">
        <w:rPr>
          <w:rFonts w:hint="eastAsia"/>
          <w:bCs/>
        </w:rPr>
        <w:t>家上市公司的总市值为</w:t>
      </w:r>
      <w:r>
        <w:rPr>
          <w:rFonts w:hint="eastAsia"/>
          <w:bCs/>
        </w:rPr>
        <w:t>6,324.80</w:t>
      </w:r>
      <w:r w:rsidRPr="0085792E">
        <w:rPr>
          <w:rFonts w:hint="eastAsia"/>
          <w:bCs/>
        </w:rPr>
        <w:t>亿元，仅依据控股股东持股比例计算，江苏省各级政府持有上市公司股权市值约为</w:t>
      </w:r>
      <w:r w:rsidRPr="00C72834">
        <w:rPr>
          <w:bCs/>
        </w:rPr>
        <w:t>2</w:t>
      </w:r>
      <w:r>
        <w:rPr>
          <w:rFonts w:hint="eastAsia"/>
          <w:bCs/>
        </w:rPr>
        <w:t>,</w:t>
      </w:r>
      <w:r w:rsidRPr="00C72834">
        <w:rPr>
          <w:bCs/>
        </w:rPr>
        <w:t>074.9</w:t>
      </w:r>
      <w:r>
        <w:rPr>
          <w:rFonts w:hint="eastAsia"/>
          <w:bCs/>
        </w:rPr>
        <w:t>3</w:t>
      </w:r>
      <w:r w:rsidRPr="0085792E">
        <w:rPr>
          <w:rFonts w:hint="eastAsia"/>
          <w:bCs/>
        </w:rPr>
        <w:t>亿元。从江苏省省本级上市公司来看，江苏省国资委直接或间接控股</w:t>
      </w:r>
      <w:r w:rsidRPr="0085792E">
        <w:rPr>
          <w:rFonts w:hint="eastAsia"/>
          <w:bCs/>
        </w:rPr>
        <w:t>9</w:t>
      </w:r>
      <w:r w:rsidRPr="0085792E">
        <w:rPr>
          <w:rFonts w:hint="eastAsia"/>
          <w:bCs/>
        </w:rPr>
        <w:t>家上市公司，总市值为</w:t>
      </w:r>
      <w:r>
        <w:rPr>
          <w:rFonts w:hint="eastAsia"/>
          <w:bCs/>
        </w:rPr>
        <w:t>2,495.90</w:t>
      </w:r>
      <w:r w:rsidRPr="0085792E">
        <w:rPr>
          <w:rFonts w:hint="eastAsia"/>
          <w:bCs/>
        </w:rPr>
        <w:t>亿元，仅依据控股股东持股比例计算，江苏省国资委持有上市公司股权市值为</w:t>
      </w:r>
      <w:r w:rsidRPr="000D7BA8">
        <w:rPr>
          <w:bCs/>
        </w:rPr>
        <w:t>759.2</w:t>
      </w:r>
      <w:r>
        <w:rPr>
          <w:rFonts w:hint="eastAsia"/>
          <w:bCs/>
        </w:rPr>
        <w:t>8</w:t>
      </w:r>
      <w:r w:rsidRPr="0085792E">
        <w:rPr>
          <w:rFonts w:hint="eastAsia"/>
          <w:bCs/>
        </w:rPr>
        <w:t>亿元。</w:t>
      </w:r>
    </w:p>
    <w:p w:rsidR="00486F91" w:rsidRPr="00094226" w:rsidRDefault="00486F91" w:rsidP="00486F91">
      <w:pPr>
        <w:adjustRightInd w:val="0"/>
        <w:snapToGrid w:val="0"/>
        <w:spacing w:beforeLines="50" w:before="156" w:afterLines="50" w:after="156"/>
        <w:outlineLvl w:val="0"/>
        <w:rPr>
          <w:rFonts w:eastAsia="黑体"/>
          <w:sz w:val="24"/>
          <w:lang w:val="x-none"/>
        </w:rPr>
      </w:pPr>
      <w:r w:rsidRPr="00094226">
        <w:rPr>
          <w:rFonts w:eastAsia="黑体"/>
          <w:b/>
          <w:sz w:val="24"/>
          <w:lang w:val="x-none"/>
        </w:rPr>
        <w:t>四、</w:t>
      </w:r>
      <w:proofErr w:type="spellStart"/>
      <w:r w:rsidRPr="00094226">
        <w:rPr>
          <w:rFonts w:eastAsia="黑体"/>
          <w:b/>
          <w:sz w:val="24"/>
          <w:lang w:val="x-none" w:eastAsia="x-none"/>
        </w:rPr>
        <w:t>政府治理水平</w:t>
      </w:r>
      <w:r w:rsidRPr="00094226">
        <w:rPr>
          <w:rFonts w:eastAsia="黑体"/>
          <w:b/>
          <w:sz w:val="24"/>
          <w:lang w:val="x-none"/>
        </w:rPr>
        <w:t>分析</w:t>
      </w:r>
      <w:proofErr w:type="spellEnd"/>
    </w:p>
    <w:p w:rsidR="00486F91" w:rsidRPr="00094226" w:rsidRDefault="00486F91" w:rsidP="00486F91">
      <w:pPr>
        <w:spacing w:beforeLines="50" w:before="156" w:afterLines="50" w:after="156"/>
        <w:rPr>
          <w:rFonts w:eastAsia="黑体"/>
          <w:b/>
          <w:szCs w:val="21"/>
        </w:rPr>
      </w:pPr>
      <w:r w:rsidRPr="00094226">
        <w:rPr>
          <w:rFonts w:eastAsia="黑体"/>
          <w:b/>
          <w:szCs w:val="21"/>
        </w:rPr>
        <w:t>江苏省经济和财政信息透明度较高，债务信息披露完备</w:t>
      </w:r>
      <w:r w:rsidRPr="00F877DF">
        <w:rPr>
          <w:rFonts w:eastAsia="黑体"/>
          <w:b/>
          <w:szCs w:val="21"/>
        </w:rPr>
        <w:t>性、及时性不断提升；</w:t>
      </w:r>
      <w:r w:rsidRPr="00F877DF">
        <w:rPr>
          <w:rFonts w:eastAsia="黑体" w:hint="eastAsia"/>
          <w:b/>
          <w:szCs w:val="21"/>
        </w:rPr>
        <w:t>江苏</w:t>
      </w:r>
      <w:r w:rsidRPr="009B28BA">
        <w:rPr>
          <w:rFonts w:eastAsia="黑体" w:hint="eastAsia"/>
          <w:b/>
          <w:szCs w:val="21"/>
        </w:rPr>
        <w:t>省政府法治水平较高，</w:t>
      </w:r>
      <w:r>
        <w:rPr>
          <w:rFonts w:eastAsia="黑体" w:hint="eastAsia"/>
          <w:b/>
          <w:szCs w:val="21"/>
        </w:rPr>
        <w:t>现代财政制度逐步构建</w:t>
      </w:r>
      <w:r w:rsidRPr="00F877DF">
        <w:rPr>
          <w:rFonts w:eastAsia="黑体" w:hint="eastAsia"/>
          <w:b/>
          <w:szCs w:val="21"/>
        </w:rPr>
        <w:t>，债务管理逐步规范</w:t>
      </w:r>
      <w:r w:rsidRPr="00F877DF">
        <w:rPr>
          <w:rFonts w:eastAsia="黑体"/>
          <w:b/>
          <w:szCs w:val="21"/>
        </w:rPr>
        <w:t>；江苏省政府发展战略明确，可行</w:t>
      </w:r>
      <w:r w:rsidRPr="00094226">
        <w:rPr>
          <w:rFonts w:eastAsia="黑体"/>
          <w:b/>
          <w:szCs w:val="21"/>
        </w:rPr>
        <w:t>性较强</w:t>
      </w:r>
    </w:p>
    <w:p w:rsidR="00486F91" w:rsidRPr="00094226" w:rsidRDefault="00486F91" w:rsidP="00486F91">
      <w:pPr>
        <w:spacing w:line="300" w:lineRule="auto"/>
        <w:ind w:firstLineChars="202" w:firstLine="426"/>
      </w:pPr>
      <w:r w:rsidRPr="00094226">
        <w:rPr>
          <w:b/>
        </w:rPr>
        <w:t>江苏省持续推进政府信息公开，政府信息披露透明度较高，债务信息披露完备性、及时性不断提升。</w:t>
      </w:r>
      <w:r w:rsidRPr="00094226">
        <w:t>通过江苏省</w:t>
      </w:r>
      <w:proofErr w:type="gramStart"/>
      <w:r w:rsidRPr="00094226">
        <w:t>统计局官网可</w:t>
      </w:r>
      <w:proofErr w:type="gramEnd"/>
      <w:r w:rsidRPr="00094226">
        <w:t>获取年度江苏省国民经济和社会发展统计公报和统计年鉴，且也可获得月度经济运行情况数据，较为及时和完备。通过江苏省财政厅网站可获取近</w:t>
      </w:r>
      <w:r w:rsidRPr="00094226">
        <w:t>10</w:t>
      </w:r>
      <w:r w:rsidRPr="00094226">
        <w:t>年的财政预算执行情况报告和预算草案，且财政预算执行报告披露</w:t>
      </w:r>
      <w:r>
        <w:rPr>
          <w:rFonts w:hint="eastAsia"/>
        </w:rPr>
        <w:t>的</w:t>
      </w:r>
      <w:r w:rsidRPr="00094226">
        <w:t>财政收支数据较为丰富；同时在江苏省财政厅网站可获取</w:t>
      </w:r>
      <w:r w:rsidRPr="00094226">
        <w:t>200</w:t>
      </w:r>
      <w:r>
        <w:rPr>
          <w:rFonts w:hint="eastAsia"/>
        </w:rPr>
        <w:t>5</w:t>
      </w:r>
      <w:r w:rsidRPr="00094226">
        <w:t>~201</w:t>
      </w:r>
      <w:r>
        <w:rPr>
          <w:rFonts w:hint="eastAsia"/>
        </w:rPr>
        <w:t>4</w:t>
      </w:r>
      <w:r w:rsidRPr="00094226">
        <w:t>年度全省和省本级</w:t>
      </w:r>
      <w:r>
        <w:rPr>
          <w:rFonts w:hint="eastAsia"/>
        </w:rPr>
        <w:t>一般公共预算</w:t>
      </w:r>
      <w:r w:rsidRPr="00094226">
        <w:t>收支决算表、</w:t>
      </w:r>
      <w:r>
        <w:rPr>
          <w:rFonts w:hint="eastAsia"/>
        </w:rPr>
        <w:t>政府性基金收支决算表</w:t>
      </w:r>
      <w:r w:rsidRPr="00094226">
        <w:t>等，以及此次发行地方政府债券信息。</w:t>
      </w:r>
    </w:p>
    <w:p w:rsidR="00486F91" w:rsidRPr="00F877DF" w:rsidRDefault="00486F91" w:rsidP="00486F91">
      <w:pPr>
        <w:spacing w:line="300" w:lineRule="auto"/>
        <w:ind w:firstLineChars="202" w:firstLine="426"/>
      </w:pPr>
      <w:r w:rsidRPr="00F877DF">
        <w:rPr>
          <w:rFonts w:hint="eastAsia"/>
          <w:b/>
        </w:rPr>
        <w:t>法治水平全国领先</w:t>
      </w:r>
      <w:r w:rsidRPr="009B28BA">
        <w:rPr>
          <w:rFonts w:hint="eastAsia"/>
          <w:b/>
        </w:rPr>
        <w:t>。</w:t>
      </w:r>
      <w:r w:rsidRPr="009B28BA">
        <w:rPr>
          <w:rFonts w:hint="eastAsia"/>
        </w:rPr>
        <w:t>江苏</w:t>
      </w:r>
      <w:r>
        <w:rPr>
          <w:rFonts w:hint="eastAsia"/>
        </w:rPr>
        <w:t>省</w:t>
      </w:r>
      <w:r w:rsidRPr="009B28BA">
        <w:rPr>
          <w:rFonts w:hint="eastAsia"/>
        </w:rPr>
        <w:t>全面落实推进依法治省工作，规范政府行为，深化行政改革，营造法治文化，着力推进法治政府建设，</w:t>
      </w:r>
      <w:r w:rsidRPr="00F877DF">
        <w:rPr>
          <w:rFonts w:hint="eastAsia"/>
        </w:rPr>
        <w:t>已率先制定出台了居民生活保障、农民工住房保障、新</w:t>
      </w:r>
      <w:r>
        <w:rPr>
          <w:rFonts w:hint="eastAsia"/>
        </w:rPr>
        <w:t>型</w:t>
      </w:r>
      <w:r w:rsidRPr="00F877DF">
        <w:rPr>
          <w:rFonts w:hint="eastAsia"/>
        </w:rPr>
        <w:t>农村合作医疗等社会保障法规。</w:t>
      </w:r>
      <w:r w:rsidRPr="00F877DF">
        <w:t>2015</w:t>
      </w:r>
      <w:r w:rsidRPr="00F877DF">
        <w:rPr>
          <w:rFonts w:hint="eastAsia"/>
        </w:rPr>
        <w:t>年</w:t>
      </w:r>
      <w:r w:rsidRPr="00F877DF">
        <w:t>3</w:t>
      </w:r>
      <w:r w:rsidRPr="00F877DF">
        <w:rPr>
          <w:rFonts w:hint="eastAsia"/>
        </w:rPr>
        <w:t>月，江苏省出台了《法治江苏建设指标体系</w:t>
      </w:r>
      <w:r>
        <w:rPr>
          <w:rFonts w:hint="eastAsia"/>
        </w:rPr>
        <w:t>（</w:t>
      </w:r>
      <w:r w:rsidRPr="00F877DF">
        <w:rPr>
          <w:rFonts w:hint="eastAsia"/>
        </w:rPr>
        <w:t>试行</w:t>
      </w:r>
      <w:r>
        <w:rPr>
          <w:rFonts w:hint="eastAsia"/>
        </w:rPr>
        <w:t>）</w:t>
      </w:r>
      <w:r w:rsidRPr="00F877DF">
        <w:rPr>
          <w:rFonts w:hint="eastAsia"/>
        </w:rPr>
        <w:t>》，注重考核现行人民群众满意度，由</w:t>
      </w:r>
      <w:r w:rsidRPr="00F877DF">
        <w:t>7</w:t>
      </w:r>
      <w:r w:rsidRPr="00F877DF">
        <w:rPr>
          <w:rFonts w:hint="eastAsia"/>
        </w:rPr>
        <w:t>大类一级指标、</w:t>
      </w:r>
      <w:r w:rsidRPr="00F877DF">
        <w:t>29</w:t>
      </w:r>
      <w:r w:rsidRPr="00F877DF">
        <w:rPr>
          <w:rFonts w:hint="eastAsia"/>
        </w:rPr>
        <w:t>项单项考核指标和</w:t>
      </w:r>
      <w:r w:rsidRPr="00F877DF">
        <w:t>1</w:t>
      </w:r>
      <w:r w:rsidRPr="00F877DF">
        <w:rPr>
          <w:rFonts w:hint="eastAsia"/>
        </w:rPr>
        <w:t>项综合评判指标构成，对</w:t>
      </w:r>
      <w:r>
        <w:rPr>
          <w:rFonts w:hint="eastAsia"/>
        </w:rPr>
        <w:t>“</w:t>
      </w:r>
      <w:r w:rsidRPr="00F877DF">
        <w:rPr>
          <w:rFonts w:hint="eastAsia"/>
        </w:rPr>
        <w:t>全面推进依法治省，努力建设法治江苏</w:t>
      </w:r>
      <w:r>
        <w:rPr>
          <w:rFonts w:hint="eastAsia"/>
        </w:rPr>
        <w:t>”</w:t>
      </w:r>
      <w:r w:rsidR="00D056E1">
        <w:rPr>
          <w:rFonts w:hint="eastAsia"/>
        </w:rPr>
        <w:t>的实现程度</w:t>
      </w:r>
      <w:r w:rsidRPr="00F877DF">
        <w:rPr>
          <w:rFonts w:hint="eastAsia"/>
        </w:rPr>
        <w:t>进行综合测评。</w:t>
      </w:r>
    </w:p>
    <w:p w:rsidR="00486F91" w:rsidRPr="00C778CC" w:rsidRDefault="00486F91" w:rsidP="00486F91">
      <w:pPr>
        <w:spacing w:line="300" w:lineRule="auto"/>
        <w:ind w:firstLineChars="202" w:firstLine="426"/>
      </w:pPr>
      <w:r w:rsidRPr="00174288">
        <w:rPr>
          <w:rFonts w:hint="eastAsia"/>
          <w:b/>
        </w:rPr>
        <w:t>现代财政制度</w:t>
      </w:r>
      <w:r>
        <w:rPr>
          <w:rFonts w:hint="eastAsia"/>
          <w:b/>
        </w:rPr>
        <w:t>逐步构建</w:t>
      </w:r>
      <w:r w:rsidRPr="00C64A95">
        <w:rPr>
          <w:rFonts w:hint="eastAsia"/>
          <w:b/>
        </w:rPr>
        <w:t>。</w:t>
      </w:r>
      <w:r w:rsidRPr="00C778CC">
        <w:rPr>
          <w:rFonts w:hint="eastAsia"/>
        </w:rPr>
        <w:t>财政管理</w:t>
      </w:r>
      <w:r w:rsidRPr="00174288">
        <w:rPr>
          <w:rFonts w:hint="eastAsia"/>
        </w:rPr>
        <w:t>方面，江苏财政坚持可续聚财，确保财政可持续发展；坚持科学用财，不断优化支出结构，全力保障和改善民生，促进区域协调发展，助推经济平稳增长；坚持科学管财，不断健全预算编制、执行、监督、绩效相互制约、相互协调的财政运行机制，提高财政资金使用绩效和财政透明度。</w:t>
      </w:r>
      <w:r>
        <w:rPr>
          <w:rFonts w:hint="eastAsia"/>
        </w:rPr>
        <w:t>2014</w:t>
      </w:r>
      <w:r>
        <w:rPr>
          <w:rFonts w:hint="eastAsia"/>
        </w:rPr>
        <w:t>年，江苏省在全国范围内率先出台《关于深化财税体制改革加快建立现代财政制度的实施意见》，现代财政制度构建路径更加清晰。此外，江苏省在推广运用</w:t>
      </w:r>
      <w:r>
        <w:rPr>
          <w:rFonts w:hint="eastAsia"/>
        </w:rPr>
        <w:t>PPP</w:t>
      </w:r>
      <w:r>
        <w:rPr>
          <w:rFonts w:hint="eastAsia"/>
        </w:rPr>
        <w:t>模式方面也处于全国领先</w:t>
      </w:r>
      <w:r w:rsidRPr="004D1EFA">
        <w:rPr>
          <w:rFonts w:hint="eastAsia"/>
        </w:rPr>
        <w:t>，</w:t>
      </w:r>
      <w:r w:rsidRPr="00247E4E">
        <w:rPr>
          <w:rFonts w:hint="eastAsia"/>
        </w:rPr>
        <w:t>2015</w:t>
      </w:r>
      <w:r w:rsidRPr="00247E4E">
        <w:rPr>
          <w:rFonts w:hint="eastAsia"/>
        </w:rPr>
        <w:t>年其向社会公开推出</w:t>
      </w:r>
      <w:r w:rsidRPr="002628A2">
        <w:t>63</w:t>
      </w:r>
      <w:r w:rsidRPr="004D1EFA">
        <w:rPr>
          <w:rFonts w:hint="eastAsia"/>
        </w:rPr>
        <w:t>个总投资达</w:t>
      </w:r>
      <w:r>
        <w:rPr>
          <w:rFonts w:hint="eastAsia"/>
        </w:rPr>
        <w:t>1,1</w:t>
      </w:r>
      <w:r w:rsidRPr="002628A2">
        <w:t>57.61</w:t>
      </w:r>
      <w:r w:rsidRPr="004D1EFA">
        <w:rPr>
          <w:rFonts w:hint="eastAsia"/>
        </w:rPr>
        <w:t>亿元的</w:t>
      </w:r>
      <w:r w:rsidRPr="00247E4E">
        <w:rPr>
          <w:rFonts w:hint="eastAsia"/>
        </w:rPr>
        <w:t>PPP</w:t>
      </w:r>
      <w:r w:rsidRPr="00247E4E">
        <w:rPr>
          <w:rFonts w:hint="eastAsia"/>
        </w:rPr>
        <w:t>模式试点项目，其中</w:t>
      </w:r>
      <w:r w:rsidRPr="002628A2">
        <w:rPr>
          <w:rFonts w:hint="eastAsia"/>
        </w:rPr>
        <w:t>首批</w:t>
      </w:r>
      <w:r w:rsidRPr="004D1EFA">
        <w:rPr>
          <w:rFonts w:hint="eastAsia"/>
        </w:rPr>
        <w:t>9</w:t>
      </w:r>
      <w:r w:rsidRPr="00247E4E">
        <w:rPr>
          <w:rFonts w:hint="eastAsia"/>
        </w:rPr>
        <w:t>个项目列入国家示范</w:t>
      </w:r>
      <w:r>
        <w:rPr>
          <w:rFonts w:hint="eastAsia"/>
        </w:rPr>
        <w:t>项目</w:t>
      </w:r>
      <w:r w:rsidRPr="00247E4E">
        <w:rPr>
          <w:rFonts w:hint="eastAsia"/>
        </w:rPr>
        <w:t>，项目数量占全国</w:t>
      </w:r>
      <w:r w:rsidRPr="002628A2">
        <w:t>30%</w:t>
      </w:r>
      <w:r w:rsidRPr="004D1EFA">
        <w:rPr>
          <w:rFonts w:hint="eastAsia"/>
        </w:rPr>
        <w:t>。</w:t>
      </w:r>
    </w:p>
    <w:p w:rsidR="00486F91" w:rsidRPr="00094226" w:rsidRDefault="00486F91" w:rsidP="00A56527">
      <w:pPr>
        <w:spacing w:line="300" w:lineRule="auto"/>
        <w:ind w:firstLineChars="202" w:firstLine="426"/>
      </w:pPr>
      <w:r w:rsidRPr="00C778CC">
        <w:rPr>
          <w:rFonts w:hint="eastAsia"/>
          <w:b/>
        </w:rPr>
        <w:t>债务管理逐步规范，融资平台总体债务风险可控。</w:t>
      </w:r>
      <w:r w:rsidRPr="00C778CC">
        <w:t>2012</w:t>
      </w:r>
      <w:r w:rsidRPr="00C778CC">
        <w:rPr>
          <w:rFonts w:hint="eastAsia"/>
        </w:rPr>
        <w:t>年以来江苏省政府陆续出台多项</w:t>
      </w:r>
      <w:r>
        <w:rPr>
          <w:rFonts w:hint="eastAsia"/>
        </w:rPr>
        <w:t>政府债务和</w:t>
      </w:r>
      <w:proofErr w:type="gramStart"/>
      <w:r>
        <w:rPr>
          <w:rFonts w:hint="eastAsia"/>
        </w:rPr>
        <w:t>或</w:t>
      </w:r>
      <w:proofErr w:type="gramEnd"/>
      <w:r>
        <w:rPr>
          <w:rFonts w:hint="eastAsia"/>
        </w:rPr>
        <w:t>有债务</w:t>
      </w:r>
      <w:r w:rsidRPr="00C778CC">
        <w:rPr>
          <w:rFonts w:hint="eastAsia"/>
        </w:rPr>
        <w:t>管理办法，对全省</w:t>
      </w:r>
      <w:r>
        <w:rPr>
          <w:rFonts w:hint="eastAsia"/>
        </w:rPr>
        <w:t>政府债务和</w:t>
      </w:r>
      <w:proofErr w:type="gramStart"/>
      <w:r>
        <w:rPr>
          <w:rFonts w:hint="eastAsia"/>
        </w:rPr>
        <w:t>或</w:t>
      </w:r>
      <w:proofErr w:type="gramEnd"/>
      <w:r>
        <w:rPr>
          <w:rFonts w:hint="eastAsia"/>
        </w:rPr>
        <w:t>有债务</w:t>
      </w:r>
      <w:r w:rsidRPr="00C778CC">
        <w:rPr>
          <w:rFonts w:hint="eastAsia"/>
        </w:rPr>
        <w:t>的举借、使用、偿还等方面进行规范，各级政府成立专门债务管理机构，实行严格的</w:t>
      </w:r>
      <w:proofErr w:type="gramStart"/>
      <w:r w:rsidRPr="00C778CC">
        <w:rPr>
          <w:rFonts w:hint="eastAsia"/>
        </w:rPr>
        <w:t>举债审批</w:t>
      </w:r>
      <w:proofErr w:type="gramEnd"/>
      <w:r w:rsidRPr="00C778CC">
        <w:rPr>
          <w:rFonts w:hint="eastAsia"/>
        </w:rPr>
        <w:t>制度，实施债务余额控制，实行政府主要领导负责制，债务管理成效逐步显现</w:t>
      </w:r>
      <w:r>
        <w:rPr>
          <w:rFonts w:hint="eastAsia"/>
        </w:rPr>
        <w:t>。</w:t>
      </w:r>
      <w:r w:rsidRPr="00C778CC">
        <w:rPr>
          <w:rFonts w:hint="eastAsia"/>
          <w:szCs w:val="21"/>
        </w:rPr>
        <w:t>中债资信关注到，</w:t>
      </w:r>
      <w:r w:rsidRPr="00C64A95">
        <w:rPr>
          <w:szCs w:val="21"/>
        </w:rPr>
        <w:t>2013</w:t>
      </w:r>
      <w:r w:rsidRPr="00C64A95">
        <w:rPr>
          <w:rFonts w:hint="eastAsia"/>
          <w:szCs w:val="21"/>
        </w:rPr>
        <w:t>年</w:t>
      </w:r>
      <w:r w:rsidRPr="00C64A95">
        <w:rPr>
          <w:szCs w:val="21"/>
        </w:rPr>
        <w:t>6</w:t>
      </w:r>
      <w:r w:rsidRPr="00C64A95">
        <w:rPr>
          <w:rFonts w:hint="eastAsia"/>
          <w:szCs w:val="21"/>
        </w:rPr>
        <w:t>月较</w:t>
      </w:r>
      <w:r w:rsidRPr="00C64A95">
        <w:rPr>
          <w:szCs w:val="21"/>
        </w:rPr>
        <w:t>2012</w:t>
      </w:r>
      <w:r w:rsidRPr="00C64A95">
        <w:rPr>
          <w:rFonts w:hint="eastAsia"/>
          <w:szCs w:val="21"/>
        </w:rPr>
        <w:t>年末增长</w:t>
      </w:r>
      <w:r w:rsidRPr="00C64A95">
        <w:rPr>
          <w:rFonts w:hint="eastAsia"/>
          <w:szCs w:val="21"/>
        </w:rPr>
        <w:t>17.06</w:t>
      </w:r>
      <w:r w:rsidRPr="00174288">
        <w:rPr>
          <w:szCs w:val="21"/>
        </w:rPr>
        <w:t>%</w:t>
      </w:r>
      <w:r>
        <w:rPr>
          <w:rFonts w:hint="eastAsia"/>
          <w:szCs w:val="21"/>
        </w:rPr>
        <w:t>，</w:t>
      </w:r>
      <w:r>
        <w:rPr>
          <w:rFonts w:hint="eastAsia"/>
          <w:szCs w:val="21"/>
        </w:rPr>
        <w:t>2013</w:t>
      </w:r>
      <w:r>
        <w:rPr>
          <w:rFonts w:hint="eastAsia"/>
          <w:szCs w:val="21"/>
        </w:rPr>
        <w:t>年下半年增速已呈现</w:t>
      </w:r>
      <w:r>
        <w:rPr>
          <w:rFonts w:hint="eastAsia"/>
          <w:szCs w:val="21"/>
        </w:rPr>
        <w:lastRenderedPageBreak/>
        <w:t>放缓</w:t>
      </w:r>
      <w:r w:rsidRPr="00174288">
        <w:rPr>
          <w:rFonts w:hint="eastAsia"/>
          <w:szCs w:val="21"/>
        </w:rPr>
        <w:t>。</w:t>
      </w:r>
      <w:r w:rsidRPr="00C64A95">
        <w:rPr>
          <w:rFonts w:hint="eastAsia"/>
          <w:szCs w:val="21"/>
        </w:rPr>
        <w:t>2014</w:t>
      </w:r>
      <w:r w:rsidRPr="00C64A95">
        <w:rPr>
          <w:rFonts w:hint="eastAsia"/>
          <w:szCs w:val="21"/>
        </w:rPr>
        <w:t>年，江苏省财政厅严格依照财政部《地方政府存量债务纳入预算管理清理甄别办法》，对存量债务进行了全面清理</w:t>
      </w:r>
      <w:r w:rsidRPr="00B55E9B">
        <w:rPr>
          <w:rFonts w:hint="eastAsia"/>
          <w:szCs w:val="21"/>
        </w:rPr>
        <w:t>甄别。</w:t>
      </w:r>
      <w:r w:rsidRPr="00B55E9B">
        <w:rPr>
          <w:rFonts w:hint="eastAsia"/>
        </w:rPr>
        <w:t>2</w:t>
      </w:r>
      <w:r w:rsidRPr="006E7FAA">
        <w:rPr>
          <w:rFonts w:hint="eastAsia"/>
        </w:rPr>
        <w:t>015</w:t>
      </w:r>
      <w:r w:rsidRPr="006E7FAA">
        <w:rPr>
          <w:rFonts w:hint="eastAsia"/>
        </w:rPr>
        <w:t>年，</w:t>
      </w:r>
      <w:r>
        <w:rPr>
          <w:rFonts w:hint="eastAsia"/>
        </w:rPr>
        <w:t>江苏省</w:t>
      </w:r>
      <w:r w:rsidRPr="006E7FAA">
        <w:rPr>
          <w:rFonts w:hint="eastAsia"/>
        </w:rPr>
        <w:t>按照财政部对</w:t>
      </w:r>
      <w:r w:rsidRPr="006E7FAA">
        <w:rPr>
          <w:rFonts w:hint="eastAsia"/>
        </w:rPr>
        <w:t>2014</w:t>
      </w:r>
      <w:r w:rsidRPr="006E7FAA">
        <w:rPr>
          <w:rFonts w:hint="eastAsia"/>
        </w:rPr>
        <w:t>年底地方</w:t>
      </w:r>
      <w:r>
        <w:rPr>
          <w:rFonts w:hint="eastAsia"/>
        </w:rPr>
        <w:t>政府债务</w:t>
      </w:r>
      <w:r w:rsidRPr="006E7FAA">
        <w:rPr>
          <w:rFonts w:hint="eastAsia"/>
        </w:rPr>
        <w:t>清理甄别结果进行自查的通知，对年初上报的政府存量债务初步清理甄别结果进行了再次确认，与年初上报结果完全一致</w:t>
      </w:r>
      <w:r>
        <w:rPr>
          <w:rFonts w:hint="eastAsia"/>
        </w:rPr>
        <w:t>；此外，江苏省</w:t>
      </w:r>
      <w:r w:rsidRPr="006E7FAA">
        <w:rPr>
          <w:rFonts w:hint="eastAsia"/>
        </w:rPr>
        <w:t>按照《财政部关于做好</w:t>
      </w:r>
      <w:r w:rsidRPr="006E7FAA">
        <w:rPr>
          <w:rFonts w:hint="eastAsia"/>
        </w:rPr>
        <w:t>2015</w:t>
      </w:r>
      <w:r w:rsidRPr="006E7FAA">
        <w:rPr>
          <w:rFonts w:hint="eastAsia"/>
        </w:rPr>
        <w:t>年地方政府债务限额管理工作的通知》</w:t>
      </w:r>
      <w:r>
        <w:rPr>
          <w:rFonts w:hint="eastAsia"/>
        </w:rPr>
        <w:t>，</w:t>
      </w:r>
      <w:r w:rsidRPr="00954ED1">
        <w:rPr>
          <w:rFonts w:hint="eastAsia"/>
        </w:rPr>
        <w:t>及时拟定年度限额方案</w:t>
      </w:r>
      <w:r>
        <w:rPr>
          <w:rFonts w:hint="eastAsia"/>
        </w:rPr>
        <w:t>，并下达市级和各区县</w:t>
      </w:r>
      <w:r w:rsidRPr="006E7FAA">
        <w:rPr>
          <w:rFonts w:hint="eastAsia"/>
        </w:rPr>
        <w:t>。</w:t>
      </w:r>
      <w:r w:rsidR="00EE3579">
        <w:rPr>
          <w:rFonts w:hint="eastAsia"/>
        </w:rPr>
        <w:t>截至</w:t>
      </w:r>
      <w:r w:rsidR="00EE3579">
        <w:rPr>
          <w:rFonts w:hint="eastAsia"/>
        </w:rPr>
        <w:t>2015</w:t>
      </w:r>
      <w:r w:rsidR="00EE3579">
        <w:rPr>
          <w:rFonts w:hint="eastAsia"/>
        </w:rPr>
        <w:t>年末，江苏省自发自还的债券规模为</w:t>
      </w:r>
      <w:r w:rsidR="00936580">
        <w:rPr>
          <w:rFonts w:hint="eastAsia"/>
        </w:rPr>
        <w:t>3,368.00</w:t>
      </w:r>
      <w:r w:rsidR="00CE1CDE">
        <w:rPr>
          <w:rFonts w:hint="eastAsia"/>
        </w:rPr>
        <w:t>亿元</w:t>
      </w:r>
      <w:r w:rsidR="00EE3579">
        <w:rPr>
          <w:rFonts w:hint="eastAsia"/>
        </w:rPr>
        <w:t>，政府综合财力对其保障程度很高。</w:t>
      </w:r>
      <w:r w:rsidRPr="00C778CC">
        <w:rPr>
          <w:rFonts w:hint="eastAsia"/>
          <w:szCs w:val="21"/>
        </w:rPr>
        <w:t>未来，伴随债务管理制度进一步落实，江苏省</w:t>
      </w:r>
      <w:r>
        <w:rPr>
          <w:rFonts w:hint="eastAsia"/>
          <w:szCs w:val="21"/>
        </w:rPr>
        <w:t>债务</w:t>
      </w:r>
      <w:r w:rsidRPr="00174288">
        <w:rPr>
          <w:rFonts w:hint="eastAsia"/>
          <w:szCs w:val="21"/>
        </w:rPr>
        <w:t>管理成效有望继续提升。</w:t>
      </w:r>
      <w:r w:rsidRPr="00174288">
        <w:rPr>
          <w:rFonts w:hint="eastAsia"/>
        </w:rPr>
        <w:t>融资平台管理</w:t>
      </w:r>
      <w:r w:rsidRPr="00C64A95">
        <w:rPr>
          <w:rFonts w:hint="eastAsia"/>
        </w:rPr>
        <w:t>逐步加强，总体债务风险可控。</w:t>
      </w:r>
      <w:r w:rsidRPr="00940BC0">
        <w:rPr>
          <w:rFonts w:hint="eastAsia"/>
        </w:rPr>
        <w:t>根据江苏省政府融资平台在公开资本市场发行债券情况（数据来源为</w:t>
      </w:r>
      <w:r w:rsidRPr="00940BC0">
        <w:t>Wind</w:t>
      </w:r>
      <w:r w:rsidRPr="00940BC0">
        <w:rPr>
          <w:rFonts w:hint="eastAsia"/>
        </w:rPr>
        <w:t>资讯），</w:t>
      </w:r>
      <w:r w:rsidRPr="00FD7C44">
        <w:rPr>
          <w:rFonts w:hint="eastAsia"/>
        </w:rPr>
        <w:t>截至</w:t>
      </w:r>
      <w:r w:rsidRPr="00FD7C44">
        <w:t>201</w:t>
      </w:r>
      <w:r w:rsidRPr="002628A2">
        <w:t>5</w:t>
      </w:r>
      <w:r w:rsidRPr="00FD7C44">
        <w:rPr>
          <w:rFonts w:hint="eastAsia"/>
        </w:rPr>
        <w:t>年</w:t>
      </w:r>
      <w:r w:rsidRPr="00FD7C44">
        <w:t>12</w:t>
      </w:r>
      <w:r w:rsidRPr="00FD7C44">
        <w:rPr>
          <w:rFonts w:hint="eastAsia"/>
        </w:rPr>
        <w:t>月底，</w:t>
      </w:r>
      <w:r w:rsidRPr="002628A2">
        <w:rPr>
          <w:rFonts w:hint="eastAsia"/>
        </w:rPr>
        <w:t>江苏省</w:t>
      </w:r>
      <w:r>
        <w:rPr>
          <w:rFonts w:hint="eastAsia"/>
        </w:rPr>
        <w:t>融资平台</w:t>
      </w:r>
      <w:r w:rsidRPr="002628A2">
        <w:rPr>
          <w:rFonts w:hint="eastAsia"/>
        </w:rPr>
        <w:t>存量债券规模为</w:t>
      </w:r>
      <w:r w:rsidRPr="002628A2">
        <w:t>7,289.85</w:t>
      </w:r>
      <w:r w:rsidRPr="002628A2">
        <w:rPr>
          <w:rFonts w:hint="eastAsia"/>
        </w:rPr>
        <w:t>亿元</w:t>
      </w:r>
      <w:r w:rsidRPr="00870DB2">
        <w:rPr>
          <w:rFonts w:hint="eastAsia"/>
        </w:rPr>
        <w:t>。截至</w:t>
      </w:r>
      <w:r w:rsidRPr="00870DB2">
        <w:t>2015</w:t>
      </w:r>
      <w:r w:rsidRPr="00870DB2">
        <w:rPr>
          <w:rFonts w:hint="eastAsia"/>
        </w:rPr>
        <w:t>年</w:t>
      </w:r>
      <w:r w:rsidRPr="00870DB2">
        <w:t>6</w:t>
      </w:r>
      <w:r w:rsidRPr="00870DB2">
        <w:rPr>
          <w:rFonts w:hint="eastAsia"/>
        </w:rPr>
        <w:t>月底，共有</w:t>
      </w:r>
      <w:r w:rsidRPr="00870DB2">
        <w:t>220</w:t>
      </w:r>
      <w:r w:rsidRPr="00870DB2">
        <w:rPr>
          <w:rFonts w:hint="eastAsia"/>
        </w:rPr>
        <w:t>家平台发行债券并公布财务数据。</w:t>
      </w:r>
      <w:r w:rsidRPr="00870DB2">
        <w:t>2015</w:t>
      </w:r>
      <w:r w:rsidRPr="00870DB2">
        <w:rPr>
          <w:rFonts w:hint="eastAsia"/>
        </w:rPr>
        <w:t>年</w:t>
      </w:r>
      <w:r w:rsidRPr="00870DB2">
        <w:t>6</w:t>
      </w:r>
      <w:r w:rsidRPr="00870DB2">
        <w:rPr>
          <w:rFonts w:hint="eastAsia"/>
        </w:rPr>
        <w:t>月底上述政府融资平台资产总额</w:t>
      </w:r>
      <w:r w:rsidRPr="00870DB2">
        <w:t>6.37</w:t>
      </w:r>
      <w:proofErr w:type="gramStart"/>
      <w:r w:rsidRPr="00870DB2">
        <w:rPr>
          <w:rFonts w:hint="eastAsia"/>
        </w:rPr>
        <w:t>万亿</w:t>
      </w:r>
      <w:proofErr w:type="gramEnd"/>
      <w:r w:rsidRPr="00870DB2">
        <w:rPr>
          <w:rFonts w:hint="eastAsia"/>
        </w:rPr>
        <w:t>元，负债总额</w:t>
      </w:r>
      <w:r w:rsidRPr="00870DB2">
        <w:t>3.84</w:t>
      </w:r>
      <w:proofErr w:type="gramStart"/>
      <w:r w:rsidRPr="00870DB2">
        <w:rPr>
          <w:rFonts w:hint="eastAsia"/>
        </w:rPr>
        <w:t>万亿</w:t>
      </w:r>
      <w:proofErr w:type="gramEnd"/>
      <w:r w:rsidRPr="00870DB2">
        <w:rPr>
          <w:rFonts w:hint="eastAsia"/>
        </w:rPr>
        <w:t>元，平均资产负债率为</w:t>
      </w:r>
      <w:r w:rsidRPr="00870DB2">
        <w:t>60.30%</w:t>
      </w:r>
      <w:r w:rsidRPr="00870DB2">
        <w:rPr>
          <w:rFonts w:hint="eastAsia"/>
        </w:rPr>
        <w:t>，</w:t>
      </w:r>
      <w:r w:rsidR="00870DB2">
        <w:rPr>
          <w:rFonts w:hint="eastAsia"/>
        </w:rPr>
        <w:t>全部债务为</w:t>
      </w:r>
      <w:r w:rsidR="00870DB2">
        <w:rPr>
          <w:rFonts w:hint="eastAsia"/>
        </w:rPr>
        <w:t>2.75</w:t>
      </w:r>
      <w:proofErr w:type="gramStart"/>
      <w:r w:rsidR="00870DB2">
        <w:rPr>
          <w:rFonts w:hint="eastAsia"/>
        </w:rPr>
        <w:t>万亿</w:t>
      </w:r>
      <w:proofErr w:type="gramEnd"/>
      <w:r w:rsidR="00870DB2">
        <w:rPr>
          <w:rFonts w:hint="eastAsia"/>
        </w:rPr>
        <w:t>元，</w:t>
      </w:r>
      <w:r w:rsidRPr="00870DB2">
        <w:rPr>
          <w:rFonts w:hint="eastAsia"/>
        </w:rPr>
        <w:t>平均全部债务资本化比率为</w:t>
      </w:r>
      <w:r w:rsidRPr="00870DB2">
        <w:t>52.07%</w:t>
      </w:r>
      <w:r w:rsidRPr="00FD7C44">
        <w:rPr>
          <w:rFonts w:hint="eastAsia"/>
        </w:rPr>
        <w:t>。从负债增长角度看，</w:t>
      </w:r>
      <w:r w:rsidRPr="00FD7C44">
        <w:t>201</w:t>
      </w:r>
      <w:r w:rsidRPr="002628A2">
        <w:t>2</w:t>
      </w:r>
      <w:r w:rsidRPr="00FD7C44">
        <w:rPr>
          <w:rFonts w:hint="eastAsia"/>
        </w:rPr>
        <w:t>年</w:t>
      </w:r>
      <w:r w:rsidRPr="00FD7C44">
        <w:t>~201</w:t>
      </w:r>
      <w:r w:rsidRPr="002628A2">
        <w:t>4</w:t>
      </w:r>
      <w:r w:rsidRPr="00FD7C44">
        <w:rPr>
          <w:rFonts w:hint="eastAsia"/>
        </w:rPr>
        <w:t>年，江苏省已发债融资平台的负债规模经历</w:t>
      </w:r>
      <w:r w:rsidRPr="00FD7C44">
        <w:t>2012</w:t>
      </w:r>
      <w:r w:rsidRPr="00FD7C44">
        <w:rPr>
          <w:rFonts w:hint="eastAsia"/>
        </w:rPr>
        <w:t>年的高速增长后放缓（负债总额增速分别为</w:t>
      </w:r>
      <w:r w:rsidRPr="002628A2">
        <w:t>32.75</w:t>
      </w:r>
      <w:r w:rsidRPr="00FD7C44">
        <w:t>%</w:t>
      </w:r>
      <w:r w:rsidRPr="00FD7C44">
        <w:rPr>
          <w:rFonts w:hint="eastAsia"/>
        </w:rPr>
        <w:t>、</w:t>
      </w:r>
      <w:r w:rsidRPr="002628A2">
        <w:t>22.47</w:t>
      </w:r>
      <w:r w:rsidRPr="00FD7C44">
        <w:t>%</w:t>
      </w:r>
      <w:r w:rsidRPr="00FD7C44">
        <w:rPr>
          <w:rFonts w:hint="eastAsia"/>
        </w:rPr>
        <w:t>和</w:t>
      </w:r>
      <w:r w:rsidRPr="002628A2">
        <w:t>23.60</w:t>
      </w:r>
      <w:r w:rsidRPr="00FD7C44">
        <w:t>%</w:t>
      </w:r>
      <w:r w:rsidRPr="00FD7C44">
        <w:rPr>
          <w:rFonts w:hint="eastAsia"/>
        </w:rPr>
        <w:t>）</w:t>
      </w:r>
      <w:r>
        <w:rPr>
          <w:rFonts w:hint="eastAsia"/>
        </w:rPr>
        <w:t>，</w:t>
      </w:r>
      <w:r>
        <w:rPr>
          <w:rFonts w:hint="eastAsia"/>
        </w:rPr>
        <w:t>2015</w:t>
      </w:r>
      <w:r>
        <w:rPr>
          <w:rFonts w:hint="eastAsia"/>
        </w:rPr>
        <w:t>年</w:t>
      </w:r>
      <w:r>
        <w:rPr>
          <w:rFonts w:hint="eastAsia"/>
        </w:rPr>
        <w:t>6</w:t>
      </w:r>
      <w:r>
        <w:rPr>
          <w:rFonts w:hint="eastAsia"/>
        </w:rPr>
        <w:t>月末负债规模比</w:t>
      </w:r>
      <w:r>
        <w:rPr>
          <w:rFonts w:hint="eastAsia"/>
        </w:rPr>
        <w:t>2014</w:t>
      </w:r>
      <w:r>
        <w:rPr>
          <w:rFonts w:hint="eastAsia"/>
        </w:rPr>
        <w:t>年末增长</w:t>
      </w:r>
      <w:r>
        <w:rPr>
          <w:rFonts w:hint="eastAsia"/>
        </w:rPr>
        <w:t>2.61%</w:t>
      </w:r>
      <w:r w:rsidRPr="00FD7C44">
        <w:rPr>
          <w:rFonts w:hint="eastAsia"/>
        </w:rPr>
        <w:t>。</w:t>
      </w:r>
      <w:r w:rsidRPr="003F0170">
        <w:rPr>
          <w:rFonts w:hint="eastAsia"/>
        </w:rPr>
        <w:t>江苏省严格落实国发</w:t>
      </w:r>
      <w:r w:rsidRPr="005367BF">
        <w:rPr>
          <w:rFonts w:hint="eastAsia"/>
          <w:color w:val="000000"/>
          <w:shd w:val="clear" w:color="auto" w:fill="FFFFFF"/>
        </w:rPr>
        <w:t>〔</w:t>
      </w:r>
      <w:r w:rsidRPr="005367BF">
        <w:t>2014</w:t>
      </w:r>
      <w:r w:rsidRPr="005367BF">
        <w:rPr>
          <w:rFonts w:hint="eastAsia"/>
          <w:color w:val="000000"/>
          <w:szCs w:val="21"/>
        </w:rPr>
        <w:t>〕</w:t>
      </w:r>
      <w:r w:rsidRPr="005837AA">
        <w:t>43</w:t>
      </w:r>
      <w:r w:rsidRPr="005837AA">
        <w:rPr>
          <w:rFonts w:hint="eastAsia"/>
        </w:rPr>
        <w:t>号文，省、市、县各级融资平台公司按照文件要求，一律不得新增政府债务。</w:t>
      </w:r>
    </w:p>
    <w:p w:rsidR="00486F91" w:rsidRPr="004E18E3" w:rsidRDefault="00486F91" w:rsidP="00486F91">
      <w:pPr>
        <w:spacing w:line="300" w:lineRule="auto"/>
        <w:ind w:firstLine="420"/>
      </w:pPr>
      <w:r w:rsidRPr="00BF6FAE">
        <w:rPr>
          <w:rFonts w:hint="eastAsia"/>
          <w:b/>
        </w:rPr>
        <w:t>发展战略明确，可行性较强。</w:t>
      </w:r>
      <w:r w:rsidRPr="004E18E3">
        <w:rPr>
          <w:rFonts w:ascii="ˎ̥" w:hAnsi="ˎ̥"/>
        </w:rPr>
        <w:t>经过</w:t>
      </w:r>
      <w:r w:rsidRPr="004E18E3">
        <w:rPr>
          <w:rFonts w:ascii="ˎ̥" w:hAnsi="ˎ̥" w:hint="eastAsia"/>
        </w:rPr>
        <w:t>“</w:t>
      </w:r>
      <w:r w:rsidRPr="004E18E3">
        <w:rPr>
          <w:rFonts w:ascii="ˎ̥" w:hAnsi="ˎ̥"/>
        </w:rPr>
        <w:t>十二五</w:t>
      </w:r>
      <w:r w:rsidRPr="004E18E3">
        <w:rPr>
          <w:rFonts w:ascii="ˎ̥" w:hAnsi="ˎ̥" w:hint="eastAsia"/>
        </w:rPr>
        <w:t>”</w:t>
      </w:r>
      <w:r w:rsidRPr="004E18E3">
        <w:rPr>
          <w:rFonts w:ascii="ˎ̥" w:hAnsi="ˎ̥"/>
        </w:rPr>
        <w:t>时期的奋斗，</w:t>
      </w:r>
      <w:r w:rsidRPr="004E18E3">
        <w:rPr>
          <w:rFonts w:ascii="ˎ̥" w:hAnsi="ˎ̥" w:hint="eastAsia"/>
        </w:rPr>
        <w:t>江苏</w:t>
      </w:r>
      <w:r w:rsidRPr="004E18E3">
        <w:rPr>
          <w:rFonts w:ascii="ˎ̥" w:hAnsi="ˎ̥"/>
        </w:rPr>
        <w:t>省综合经济实力和发展水平有了一个大提升，发展动力正在加快转换，发展空间不断拓展优化，发展路径越来越清晰</w:t>
      </w:r>
      <w:r w:rsidRPr="004E18E3">
        <w:rPr>
          <w:rFonts w:ascii="ˎ̥" w:hAnsi="ˎ̥" w:hint="eastAsia"/>
        </w:rPr>
        <w:t>。</w:t>
      </w:r>
      <w:r w:rsidRPr="004E18E3">
        <w:rPr>
          <w:rFonts w:ascii="ˎ̥" w:hAnsi="ˎ̥" w:hint="eastAsia"/>
        </w:rPr>
        <w:t>2016</w:t>
      </w:r>
      <w:r w:rsidRPr="004E18E3">
        <w:rPr>
          <w:rFonts w:ascii="ˎ̥" w:hAnsi="ˎ̥" w:hint="eastAsia"/>
        </w:rPr>
        <w:t>年作为“十三五”的开局之年，江苏省力争</w:t>
      </w:r>
      <w:r w:rsidRPr="004E18E3">
        <w:rPr>
          <w:rFonts w:ascii="ˎ̥" w:hAnsi="ˎ̥" w:hint="eastAsia"/>
        </w:rPr>
        <w:t>2016</w:t>
      </w:r>
      <w:r w:rsidRPr="004E18E3">
        <w:rPr>
          <w:rFonts w:ascii="ˎ̥" w:hAnsi="ˎ̥" w:hint="eastAsia"/>
        </w:rPr>
        <w:t>年实现</w:t>
      </w:r>
      <w:r w:rsidRPr="004E18E3">
        <w:rPr>
          <w:rFonts w:hint="eastAsia"/>
        </w:rPr>
        <w:t>地区生产总值增长</w:t>
      </w:r>
      <w:r w:rsidRPr="004E18E3">
        <w:rPr>
          <w:rFonts w:hint="eastAsia"/>
        </w:rPr>
        <w:t>7.5</w:t>
      </w:r>
      <w:r>
        <w:rPr>
          <w:rFonts w:hint="eastAsia"/>
        </w:rPr>
        <w:t>0</w:t>
      </w:r>
      <w:r w:rsidRPr="004E18E3">
        <w:rPr>
          <w:rFonts w:hint="eastAsia"/>
        </w:rPr>
        <w:t>%-</w:t>
      </w:r>
      <w:r>
        <w:rPr>
          <w:rFonts w:hint="eastAsia"/>
        </w:rPr>
        <w:t>8.00</w:t>
      </w:r>
      <w:r w:rsidRPr="004E18E3">
        <w:rPr>
          <w:rFonts w:hint="eastAsia"/>
        </w:rPr>
        <w:t>%</w:t>
      </w:r>
      <w:r w:rsidRPr="004E18E3">
        <w:rPr>
          <w:rFonts w:hint="eastAsia"/>
        </w:rPr>
        <w:t>，一般公共预算收入增长</w:t>
      </w:r>
      <w:r w:rsidRPr="004E18E3">
        <w:rPr>
          <w:rFonts w:hint="eastAsia"/>
        </w:rPr>
        <w:t>8</w:t>
      </w:r>
      <w:r>
        <w:rPr>
          <w:rFonts w:hint="eastAsia"/>
        </w:rPr>
        <w:t>.00</w:t>
      </w:r>
      <w:r w:rsidRPr="004E18E3">
        <w:rPr>
          <w:rFonts w:hint="eastAsia"/>
        </w:rPr>
        <w:t>%</w:t>
      </w:r>
      <w:r w:rsidRPr="004E18E3">
        <w:rPr>
          <w:rFonts w:hint="eastAsia"/>
        </w:rPr>
        <w:t>左右，固定资产投资增长</w:t>
      </w:r>
      <w:r w:rsidRPr="004E18E3">
        <w:rPr>
          <w:rFonts w:hint="eastAsia"/>
        </w:rPr>
        <w:t>10.5</w:t>
      </w:r>
      <w:r>
        <w:rPr>
          <w:rFonts w:hint="eastAsia"/>
        </w:rPr>
        <w:t>0</w:t>
      </w:r>
      <w:r w:rsidRPr="004E18E3">
        <w:rPr>
          <w:rFonts w:hint="eastAsia"/>
        </w:rPr>
        <w:t>%</w:t>
      </w:r>
      <w:r w:rsidRPr="004E18E3">
        <w:rPr>
          <w:rFonts w:hint="eastAsia"/>
        </w:rPr>
        <w:t>左右，社会消费品零售总额增长</w:t>
      </w:r>
      <w:r w:rsidRPr="004E18E3">
        <w:rPr>
          <w:rFonts w:hint="eastAsia"/>
        </w:rPr>
        <w:t>10</w:t>
      </w:r>
      <w:r>
        <w:rPr>
          <w:rFonts w:hint="eastAsia"/>
        </w:rPr>
        <w:t>.00</w:t>
      </w:r>
      <w:r w:rsidRPr="004E18E3">
        <w:rPr>
          <w:rFonts w:hint="eastAsia"/>
        </w:rPr>
        <w:t>%</w:t>
      </w:r>
      <w:r w:rsidRPr="004E18E3">
        <w:rPr>
          <w:rFonts w:hint="eastAsia"/>
        </w:rPr>
        <w:t>左右，外贸进出口力争实现正增长，城乡居民收入增长与经济增长基本同步；研发经费支出占地区生产总值比重达到</w:t>
      </w:r>
      <w:r w:rsidRPr="004E18E3">
        <w:rPr>
          <w:rFonts w:hint="eastAsia"/>
        </w:rPr>
        <w:t>2.6</w:t>
      </w:r>
      <w:r>
        <w:rPr>
          <w:rFonts w:hint="eastAsia"/>
        </w:rPr>
        <w:t>0</w:t>
      </w:r>
      <w:r w:rsidRPr="004E18E3">
        <w:rPr>
          <w:rFonts w:hint="eastAsia"/>
        </w:rPr>
        <w:t>%</w:t>
      </w:r>
      <w:r w:rsidRPr="004E18E3">
        <w:rPr>
          <w:rFonts w:hint="eastAsia"/>
        </w:rPr>
        <w:t>，建成创新型省份。</w:t>
      </w:r>
      <w:r w:rsidRPr="004E18E3">
        <w:rPr>
          <w:rFonts w:hint="eastAsia"/>
        </w:rPr>
        <w:t>2016</w:t>
      </w:r>
      <w:r w:rsidRPr="004E18E3">
        <w:rPr>
          <w:rFonts w:hint="eastAsia"/>
        </w:rPr>
        <w:t>年，江苏省重点突出供给侧结构性改革，大力调整优化产业结构。持续扩大有效需求，保持经济运行在合理区间；抓住“一带一路”建设和中韩、中</w:t>
      </w:r>
      <w:proofErr w:type="gramStart"/>
      <w:r w:rsidRPr="004E18E3">
        <w:rPr>
          <w:rFonts w:hint="eastAsia"/>
        </w:rPr>
        <w:t>澳自贸协定</w:t>
      </w:r>
      <w:proofErr w:type="gramEnd"/>
      <w:r w:rsidRPr="004E18E3">
        <w:rPr>
          <w:rFonts w:hint="eastAsia"/>
        </w:rPr>
        <w:t>正式生效等机遇，落实和完善稳定外贸增长措施。深入实施创新驱动发展战略；</w:t>
      </w:r>
      <w:r w:rsidRPr="004E18E3">
        <w:rPr>
          <w:rFonts w:hint="eastAsia"/>
          <w:szCs w:val="21"/>
          <w:shd w:val="clear" w:color="auto" w:fill="FFFFFF"/>
        </w:rPr>
        <w:t>落实重大改革举措，激发经济社会发展活力，全面提升对内对外开放水平，培育国际竞争新优势。转变农业发展方式，加快建设现代农业，扎实推进新型城镇化和城乡发展一体化，更大力度统筹城乡区域发展。加强生态文明建设，提高绿色发展水平。加快建设文化强省，促进文化繁荣发展。大力发展各项社会事业，切实保障改善民生。江苏省将积极参与“一带一路”和长江经济带建设，复制推广上海自由贸易试验区经验，推进各类开发园区整合优化、功能提升、制度创新，加快开放型经济转型升级，增强江苏经济国际竞争力。</w:t>
      </w:r>
    </w:p>
    <w:p w:rsidR="00486F91" w:rsidRPr="00094226" w:rsidRDefault="00486F91" w:rsidP="00486F91">
      <w:pPr>
        <w:adjustRightInd w:val="0"/>
        <w:snapToGrid w:val="0"/>
        <w:spacing w:beforeLines="100" w:before="312" w:afterLines="50" w:after="156"/>
        <w:outlineLvl w:val="0"/>
        <w:rPr>
          <w:rFonts w:eastAsia="黑体"/>
          <w:b/>
          <w:sz w:val="24"/>
          <w:lang w:val="x-none"/>
        </w:rPr>
      </w:pPr>
      <w:r w:rsidRPr="00094226">
        <w:rPr>
          <w:rFonts w:eastAsia="黑体"/>
          <w:b/>
          <w:sz w:val="24"/>
          <w:lang w:val="x-none"/>
        </w:rPr>
        <w:t>五、地区金融生态环境评价</w:t>
      </w:r>
    </w:p>
    <w:p w:rsidR="00486F91" w:rsidRPr="00094226" w:rsidRDefault="00486F91" w:rsidP="00486F91">
      <w:pPr>
        <w:adjustRightInd w:val="0"/>
        <w:snapToGrid w:val="0"/>
        <w:spacing w:beforeLines="100" w:before="312" w:afterLines="50" w:after="156"/>
        <w:rPr>
          <w:rFonts w:eastAsia="黑体"/>
          <w:b/>
          <w:szCs w:val="21"/>
        </w:rPr>
      </w:pPr>
      <w:r w:rsidRPr="00094226">
        <w:rPr>
          <w:rFonts w:eastAsia="黑体"/>
          <w:b/>
          <w:szCs w:val="21"/>
        </w:rPr>
        <w:t>江苏省经济发展、金融发展水平、区域制度与信用文化水平较高，债务对金融稳定的影响</w:t>
      </w:r>
      <w:r>
        <w:rPr>
          <w:rFonts w:eastAsia="黑体" w:hint="eastAsia"/>
          <w:b/>
          <w:szCs w:val="21"/>
        </w:rPr>
        <w:t>较</w:t>
      </w:r>
      <w:r w:rsidRPr="00094226">
        <w:rPr>
          <w:rFonts w:eastAsia="黑体"/>
          <w:b/>
          <w:szCs w:val="21"/>
        </w:rPr>
        <w:t>小，整体</w:t>
      </w:r>
      <w:proofErr w:type="gramStart"/>
      <w:r w:rsidRPr="00094226">
        <w:rPr>
          <w:rFonts w:eastAsia="黑体"/>
          <w:b/>
          <w:szCs w:val="21"/>
        </w:rPr>
        <w:t>看地区</w:t>
      </w:r>
      <w:proofErr w:type="gramEnd"/>
      <w:r w:rsidRPr="00094226">
        <w:rPr>
          <w:rFonts w:eastAsia="黑体"/>
          <w:b/>
          <w:szCs w:val="21"/>
        </w:rPr>
        <w:t>金融生态环境很好</w:t>
      </w:r>
    </w:p>
    <w:p w:rsidR="00B12D88" w:rsidRPr="00094226" w:rsidRDefault="00486F91" w:rsidP="00486F91">
      <w:pPr>
        <w:spacing w:line="300" w:lineRule="auto"/>
        <w:ind w:firstLineChars="202" w:firstLine="424"/>
        <w:rPr>
          <w:szCs w:val="21"/>
        </w:rPr>
      </w:pPr>
      <w:r w:rsidRPr="00094226">
        <w:rPr>
          <w:szCs w:val="21"/>
        </w:rPr>
        <w:t>根据中债资信与社科院联合发布的</w:t>
      </w:r>
      <w:r w:rsidRPr="00094226">
        <w:rPr>
          <w:szCs w:val="21"/>
        </w:rPr>
        <w:t>2012-2013</w:t>
      </w:r>
      <w:r w:rsidRPr="00094226">
        <w:rPr>
          <w:szCs w:val="21"/>
        </w:rPr>
        <w:t>年中国地区金融生态环境评价结果，从地区经济基础来看，实体经济是金融主体的存在依据、服务对象和生存空间，主要通过地区经济发达水平、经济结构、基础设施以及私人部门发展四个方面评价，从</w:t>
      </w:r>
      <w:r w:rsidRPr="00094226">
        <w:rPr>
          <w:szCs w:val="21"/>
        </w:rPr>
        <w:t>2013</w:t>
      </w:r>
      <w:r w:rsidRPr="00094226">
        <w:rPr>
          <w:szCs w:val="21"/>
        </w:rPr>
        <w:t>年省级数据来看，江苏省经济基础评分为</w:t>
      </w:r>
      <w:r w:rsidRPr="00094226">
        <w:rPr>
          <w:szCs w:val="21"/>
        </w:rPr>
        <w:t>0.541</w:t>
      </w:r>
      <w:r w:rsidRPr="00094226">
        <w:rPr>
          <w:szCs w:val="21"/>
        </w:rPr>
        <w:t>，位</w:t>
      </w:r>
      <w:r w:rsidRPr="00094226">
        <w:rPr>
          <w:szCs w:val="21"/>
        </w:rPr>
        <w:lastRenderedPageBreak/>
        <w:t>居全国前列。从金融发展来看，地区金融发展和金融部门的市场化程度直接反映出一个地区金融生态环境的优劣，主要从金融深化、金融竞争和私人部门金融支持等方面来评价和分析。从</w:t>
      </w:r>
      <w:r w:rsidRPr="00094226">
        <w:rPr>
          <w:szCs w:val="21"/>
        </w:rPr>
        <w:t>2013</w:t>
      </w:r>
      <w:r w:rsidRPr="00094226">
        <w:rPr>
          <w:szCs w:val="21"/>
        </w:rPr>
        <w:t>年省级数据来看，江苏省金融发展评分为</w:t>
      </w:r>
      <w:r w:rsidRPr="00094226">
        <w:rPr>
          <w:szCs w:val="21"/>
        </w:rPr>
        <w:t>0.499</w:t>
      </w:r>
      <w:r w:rsidRPr="00094226">
        <w:rPr>
          <w:szCs w:val="21"/>
        </w:rPr>
        <w:t>，整体上处于全国很好水平。从制度与信用文化来看，制度文化因素是影响地区金融资产质量的软环境，难以通过</w:t>
      </w:r>
      <w:proofErr w:type="gramStart"/>
      <w:r w:rsidRPr="00094226">
        <w:rPr>
          <w:szCs w:val="21"/>
        </w:rPr>
        <w:t>一</w:t>
      </w:r>
      <w:proofErr w:type="gramEnd"/>
      <w:r w:rsidRPr="00094226">
        <w:rPr>
          <w:szCs w:val="21"/>
        </w:rPr>
        <w:t>套数据来客观真实的衡量，主要采取问卷调查的方式获取信息。从</w:t>
      </w:r>
      <w:r w:rsidRPr="00094226">
        <w:rPr>
          <w:szCs w:val="21"/>
        </w:rPr>
        <w:t>2013</w:t>
      </w:r>
      <w:r w:rsidRPr="00094226">
        <w:rPr>
          <w:szCs w:val="21"/>
        </w:rPr>
        <w:t>年省级数据来看，江苏省制度与信用文化评分为</w:t>
      </w:r>
      <w:r w:rsidRPr="00094226">
        <w:rPr>
          <w:szCs w:val="21"/>
        </w:rPr>
        <w:t>0.572</w:t>
      </w:r>
      <w:r w:rsidRPr="00094226">
        <w:rPr>
          <w:szCs w:val="21"/>
        </w:rPr>
        <w:t>，处于全国很好水平。从地方债务对金融稳定的影响看，</w:t>
      </w:r>
      <w:r w:rsidRPr="00094226">
        <w:rPr>
          <w:szCs w:val="21"/>
        </w:rPr>
        <w:t>2013</w:t>
      </w:r>
      <w:r w:rsidRPr="00094226">
        <w:rPr>
          <w:szCs w:val="21"/>
        </w:rPr>
        <w:t>年江苏省地方债务对金融稳定的影响评分为</w:t>
      </w:r>
      <w:r w:rsidRPr="00094226">
        <w:rPr>
          <w:szCs w:val="21"/>
        </w:rPr>
        <w:t>0.603</w:t>
      </w:r>
      <w:r w:rsidRPr="00094226">
        <w:rPr>
          <w:szCs w:val="21"/>
        </w:rPr>
        <w:t>，整体看影响</w:t>
      </w:r>
      <w:r>
        <w:rPr>
          <w:rFonts w:hint="eastAsia"/>
          <w:szCs w:val="21"/>
        </w:rPr>
        <w:t>较</w:t>
      </w:r>
      <w:r w:rsidRPr="00094226">
        <w:rPr>
          <w:szCs w:val="21"/>
        </w:rPr>
        <w:t>小。综上，江苏省经济基础很好，地方债务对金融稳定的影响很小，金融发展水平较高，制度与信用文化建设程度很高，</w:t>
      </w:r>
      <w:r w:rsidRPr="00094226">
        <w:rPr>
          <w:szCs w:val="21"/>
        </w:rPr>
        <w:t>2013</w:t>
      </w:r>
      <w:r w:rsidRPr="00094226">
        <w:rPr>
          <w:szCs w:val="21"/>
        </w:rPr>
        <w:t>年江苏省金融生态环境评分为</w:t>
      </w:r>
      <w:r w:rsidRPr="00094226">
        <w:rPr>
          <w:szCs w:val="21"/>
        </w:rPr>
        <w:t>0.549</w:t>
      </w:r>
      <w:r w:rsidRPr="00094226">
        <w:rPr>
          <w:szCs w:val="21"/>
        </w:rPr>
        <w:t>，处于很好水平，为江苏省政府债务偿还提供了很好的金融生态环境</w:t>
      </w:r>
      <w:r w:rsidR="00B12D88" w:rsidRPr="00094226">
        <w:rPr>
          <w:szCs w:val="21"/>
        </w:rPr>
        <w:t>。</w:t>
      </w:r>
    </w:p>
    <w:p w:rsidR="00B12D88" w:rsidRPr="00094226" w:rsidRDefault="00B12D88" w:rsidP="00B12D88">
      <w:pPr>
        <w:adjustRightInd w:val="0"/>
        <w:snapToGrid w:val="0"/>
        <w:spacing w:beforeLines="100" w:before="312" w:afterLines="50" w:after="156"/>
        <w:outlineLvl w:val="0"/>
        <w:rPr>
          <w:rFonts w:eastAsia="黑体"/>
          <w:color w:val="000000"/>
          <w:sz w:val="24"/>
          <w:lang w:val="x-none" w:eastAsia="x-none"/>
        </w:rPr>
      </w:pPr>
      <w:r w:rsidRPr="001467D7">
        <w:rPr>
          <w:rFonts w:eastAsia="黑体"/>
          <w:b/>
          <w:sz w:val="24"/>
          <w:lang w:val="x-none"/>
        </w:rPr>
        <w:t>六、</w:t>
      </w:r>
      <w:proofErr w:type="spellStart"/>
      <w:r w:rsidRPr="001467D7">
        <w:rPr>
          <w:rFonts w:eastAsia="黑体"/>
          <w:b/>
          <w:sz w:val="24"/>
          <w:lang w:val="x-none" w:eastAsia="x-none"/>
        </w:rPr>
        <w:t>本</w:t>
      </w:r>
      <w:r w:rsidRPr="001467D7">
        <w:rPr>
          <w:rFonts w:eastAsia="黑体" w:hint="eastAsia"/>
          <w:b/>
          <w:sz w:val="24"/>
          <w:lang w:val="x-none"/>
        </w:rPr>
        <w:t>批</w:t>
      </w:r>
      <w:r w:rsidRPr="001467D7">
        <w:rPr>
          <w:rFonts w:eastAsia="黑体"/>
          <w:b/>
          <w:sz w:val="24"/>
          <w:lang w:val="x-none" w:eastAsia="x-none"/>
        </w:rPr>
        <w:t>债券偿还能力分析</w:t>
      </w:r>
      <w:proofErr w:type="spellEnd"/>
    </w:p>
    <w:p w:rsidR="00B12D88" w:rsidRPr="00094226" w:rsidRDefault="00B12D88" w:rsidP="00B12D88">
      <w:pPr>
        <w:adjustRightInd w:val="0"/>
        <w:snapToGrid w:val="0"/>
        <w:spacing w:beforeLines="100" w:before="312" w:afterLines="50" w:after="156"/>
        <w:rPr>
          <w:rFonts w:eastAsia="黑体"/>
          <w:b/>
          <w:szCs w:val="21"/>
        </w:rPr>
      </w:pPr>
      <w:r>
        <w:rPr>
          <w:rFonts w:eastAsia="黑体"/>
          <w:b/>
          <w:szCs w:val="21"/>
        </w:rPr>
        <w:t>本批债券</w:t>
      </w:r>
      <w:r w:rsidRPr="00094226">
        <w:rPr>
          <w:rFonts w:eastAsia="黑体"/>
          <w:b/>
          <w:szCs w:val="21"/>
        </w:rPr>
        <w:t>纳入江苏省一般公共预算，江苏省财力对</w:t>
      </w:r>
      <w:r>
        <w:rPr>
          <w:rFonts w:eastAsia="黑体"/>
          <w:b/>
          <w:szCs w:val="21"/>
        </w:rPr>
        <w:t>本批债券</w:t>
      </w:r>
      <w:r w:rsidRPr="00094226">
        <w:rPr>
          <w:rFonts w:eastAsia="黑体"/>
          <w:b/>
          <w:szCs w:val="21"/>
        </w:rPr>
        <w:t>的偿还保障程度很高</w:t>
      </w:r>
    </w:p>
    <w:p w:rsidR="00B12D88" w:rsidRPr="00094226" w:rsidRDefault="00B12D88" w:rsidP="00B12D88">
      <w:pPr>
        <w:spacing w:afterLines="50" w:after="156" w:line="300" w:lineRule="auto"/>
        <w:ind w:firstLineChars="202" w:firstLine="424"/>
      </w:pPr>
      <w:r w:rsidRPr="00094226">
        <w:t>经国务院批准，</w:t>
      </w:r>
      <w:r w:rsidR="00C40D64" w:rsidRPr="00D64142">
        <w:t>201</w:t>
      </w:r>
      <w:r w:rsidR="00C40D64">
        <w:rPr>
          <w:rFonts w:hint="eastAsia"/>
        </w:rPr>
        <w:t>6</w:t>
      </w:r>
      <w:r w:rsidRPr="00D64142">
        <w:rPr>
          <w:rFonts w:hint="eastAsia"/>
        </w:rPr>
        <w:t>年</w:t>
      </w:r>
      <w:r w:rsidR="00C40D64" w:rsidRPr="00D64142">
        <w:rPr>
          <w:rFonts w:hint="eastAsia"/>
        </w:rPr>
        <w:t>第</w:t>
      </w:r>
      <w:r w:rsidR="00C40D64">
        <w:rPr>
          <w:rFonts w:hint="eastAsia"/>
        </w:rPr>
        <w:t>一</w:t>
      </w:r>
      <w:r w:rsidRPr="00D64142">
        <w:rPr>
          <w:rFonts w:hint="eastAsia"/>
        </w:rPr>
        <w:t>批江苏省政府一般债券（以下简称“本批债券”</w:t>
      </w:r>
      <w:r w:rsidRPr="008121A7">
        <w:rPr>
          <w:rFonts w:hint="eastAsia"/>
        </w:rPr>
        <w:t>）</w:t>
      </w:r>
      <w:r w:rsidRPr="00940BC0">
        <w:rPr>
          <w:rFonts w:hint="eastAsia"/>
        </w:rPr>
        <w:t>发行</w:t>
      </w:r>
      <w:r w:rsidRPr="009B56F7">
        <w:rPr>
          <w:rFonts w:hint="eastAsia"/>
        </w:rPr>
        <w:t>总额</w:t>
      </w:r>
      <w:r w:rsidR="009B56F7" w:rsidRPr="009B56F7">
        <w:t>608.6</w:t>
      </w:r>
      <w:r w:rsidR="00570650">
        <w:rPr>
          <w:rFonts w:hint="eastAsia"/>
        </w:rPr>
        <w:t>0</w:t>
      </w:r>
      <w:r w:rsidRPr="009B56F7">
        <w:rPr>
          <w:rFonts w:hint="eastAsia"/>
        </w:rPr>
        <w:t>亿元，</w:t>
      </w:r>
      <w:r w:rsidRPr="009461C8">
        <w:rPr>
          <w:rFonts w:hint="eastAsia"/>
        </w:rPr>
        <w:t>品种为记账式固定利率附息债，</w:t>
      </w:r>
      <w:r w:rsidR="00161940" w:rsidRPr="009461C8">
        <w:rPr>
          <w:rFonts w:hint="eastAsia"/>
        </w:rPr>
        <w:t>全部额度为</w:t>
      </w:r>
      <w:r w:rsidRPr="009461C8">
        <w:rPr>
          <w:rFonts w:hint="eastAsia"/>
        </w:rPr>
        <w:t>置换一般债券。</w:t>
      </w:r>
      <w:r w:rsidRPr="009B56F7">
        <w:rPr>
          <w:rFonts w:hint="eastAsia"/>
        </w:rPr>
        <w:t>在债券发行总额限额内，</w:t>
      </w:r>
      <w:r w:rsidR="009B56F7" w:rsidRPr="009B56F7">
        <w:t>201</w:t>
      </w:r>
      <w:r w:rsidR="009B56F7">
        <w:rPr>
          <w:rFonts w:hint="eastAsia"/>
        </w:rPr>
        <w:t>6</w:t>
      </w:r>
      <w:r w:rsidRPr="009B56F7">
        <w:rPr>
          <w:rFonts w:hint="eastAsia"/>
        </w:rPr>
        <w:t>年</w:t>
      </w:r>
      <w:r w:rsidR="009B56F7" w:rsidRPr="009B56F7">
        <w:rPr>
          <w:rFonts w:hint="eastAsia"/>
        </w:rPr>
        <w:t>第</w:t>
      </w:r>
      <w:r w:rsidR="009B56F7">
        <w:rPr>
          <w:rFonts w:hint="eastAsia"/>
        </w:rPr>
        <w:t>一</w:t>
      </w:r>
      <w:r w:rsidRPr="009B56F7">
        <w:rPr>
          <w:rFonts w:hint="eastAsia"/>
        </w:rPr>
        <w:t>批江苏省政府一般债券分为</w:t>
      </w:r>
      <w:r w:rsidR="009B56F7">
        <w:rPr>
          <w:rFonts w:hint="eastAsia"/>
        </w:rPr>
        <w:t>一</w:t>
      </w:r>
      <w:r w:rsidRPr="009B56F7">
        <w:rPr>
          <w:rFonts w:hint="eastAsia"/>
        </w:rPr>
        <w:t>期、</w:t>
      </w:r>
      <w:r w:rsidR="009B56F7">
        <w:rPr>
          <w:rFonts w:hint="eastAsia"/>
        </w:rPr>
        <w:t>二</w:t>
      </w:r>
      <w:r w:rsidRPr="009B56F7">
        <w:rPr>
          <w:rFonts w:hint="eastAsia"/>
        </w:rPr>
        <w:t>期、</w:t>
      </w:r>
      <w:r w:rsidR="009B56F7">
        <w:rPr>
          <w:rFonts w:hint="eastAsia"/>
        </w:rPr>
        <w:t>三</w:t>
      </w:r>
      <w:r w:rsidRPr="009B56F7">
        <w:rPr>
          <w:rFonts w:hint="eastAsia"/>
        </w:rPr>
        <w:t>期、</w:t>
      </w:r>
      <w:r w:rsidR="009B56F7">
        <w:rPr>
          <w:rFonts w:hint="eastAsia"/>
        </w:rPr>
        <w:t>四</w:t>
      </w:r>
      <w:r w:rsidRPr="009B56F7">
        <w:rPr>
          <w:rFonts w:hint="eastAsia"/>
        </w:rPr>
        <w:t>期分别发行，债券期限分别为</w:t>
      </w:r>
      <w:r w:rsidRPr="009B56F7">
        <w:t>3</w:t>
      </w:r>
      <w:r w:rsidRPr="009B56F7">
        <w:rPr>
          <w:rFonts w:hint="eastAsia"/>
        </w:rPr>
        <w:t>年、</w:t>
      </w:r>
      <w:r w:rsidRPr="009B56F7">
        <w:t>5</w:t>
      </w:r>
      <w:r w:rsidRPr="009B56F7">
        <w:rPr>
          <w:rFonts w:hint="eastAsia"/>
        </w:rPr>
        <w:t>年、</w:t>
      </w:r>
      <w:r w:rsidRPr="009B56F7">
        <w:t>7</w:t>
      </w:r>
      <w:r w:rsidRPr="009B56F7">
        <w:rPr>
          <w:rFonts w:hint="eastAsia"/>
        </w:rPr>
        <w:t>年、</w:t>
      </w:r>
      <w:r w:rsidRPr="009B56F7">
        <w:t>10</w:t>
      </w:r>
      <w:r w:rsidRPr="009B56F7">
        <w:rPr>
          <w:rFonts w:hint="eastAsia"/>
        </w:rPr>
        <w:t>年，计划发行规模分别为</w:t>
      </w:r>
      <w:r w:rsidR="009B56F7" w:rsidRPr="009B56F7">
        <w:t>121.8</w:t>
      </w:r>
      <w:r w:rsidR="00570650">
        <w:rPr>
          <w:rFonts w:hint="eastAsia"/>
        </w:rPr>
        <w:t>0</w:t>
      </w:r>
      <w:r w:rsidR="009B56F7" w:rsidRPr="009B56F7">
        <w:rPr>
          <w:rFonts w:hint="eastAsia"/>
        </w:rPr>
        <w:t>亿元（占</w:t>
      </w:r>
      <w:r w:rsidR="009B56F7" w:rsidRPr="009B56F7">
        <w:t>20%</w:t>
      </w:r>
      <w:r w:rsidR="009B56F7" w:rsidRPr="009B56F7">
        <w:rPr>
          <w:rFonts w:hint="eastAsia"/>
        </w:rPr>
        <w:t>）、</w:t>
      </w:r>
      <w:r w:rsidR="009B56F7" w:rsidRPr="009B56F7">
        <w:t>182.5</w:t>
      </w:r>
      <w:r w:rsidR="00570650">
        <w:rPr>
          <w:rFonts w:hint="eastAsia"/>
        </w:rPr>
        <w:t>0</w:t>
      </w:r>
      <w:r w:rsidR="009B56F7" w:rsidRPr="009B56F7">
        <w:rPr>
          <w:rFonts w:hint="eastAsia"/>
        </w:rPr>
        <w:t>亿元（占</w:t>
      </w:r>
      <w:r w:rsidR="009B56F7" w:rsidRPr="009B56F7">
        <w:t>30%</w:t>
      </w:r>
      <w:r w:rsidR="009B56F7" w:rsidRPr="009B56F7">
        <w:rPr>
          <w:rFonts w:hint="eastAsia"/>
        </w:rPr>
        <w:t>）、</w:t>
      </w:r>
      <w:r w:rsidR="009B56F7" w:rsidRPr="009B56F7">
        <w:t>182.5</w:t>
      </w:r>
      <w:r w:rsidR="00570650">
        <w:rPr>
          <w:rFonts w:hint="eastAsia"/>
        </w:rPr>
        <w:t>0</w:t>
      </w:r>
      <w:r w:rsidR="009B56F7" w:rsidRPr="009B56F7">
        <w:rPr>
          <w:rFonts w:hint="eastAsia"/>
        </w:rPr>
        <w:t>亿元（占</w:t>
      </w:r>
      <w:r w:rsidR="009B56F7" w:rsidRPr="009B56F7">
        <w:t>30%</w:t>
      </w:r>
      <w:r w:rsidR="009B56F7" w:rsidRPr="009B56F7">
        <w:rPr>
          <w:rFonts w:hint="eastAsia"/>
        </w:rPr>
        <w:t>）、</w:t>
      </w:r>
      <w:r w:rsidR="009B56F7" w:rsidRPr="009B56F7">
        <w:t>121.8</w:t>
      </w:r>
      <w:r w:rsidR="00570650">
        <w:rPr>
          <w:rFonts w:hint="eastAsia"/>
        </w:rPr>
        <w:t>0</w:t>
      </w:r>
      <w:r w:rsidR="009B56F7" w:rsidRPr="009B56F7">
        <w:rPr>
          <w:rFonts w:hint="eastAsia"/>
        </w:rPr>
        <w:t>亿元（占</w:t>
      </w:r>
      <w:r w:rsidR="009B56F7" w:rsidRPr="009B56F7">
        <w:t>20%</w:t>
      </w:r>
      <w:r w:rsidR="009B56F7" w:rsidRPr="009B56F7">
        <w:rPr>
          <w:rFonts w:hint="eastAsia"/>
        </w:rPr>
        <w:t>）</w:t>
      </w:r>
      <w:r w:rsidRPr="009B56F7">
        <w:rPr>
          <w:rFonts w:hint="eastAsia"/>
        </w:rPr>
        <w:t>。</w:t>
      </w:r>
      <w:r w:rsidRPr="009461C8">
        <w:rPr>
          <w:rFonts w:hint="eastAsia"/>
          <w:b/>
        </w:rPr>
        <w:t>资金用途方面</w:t>
      </w:r>
      <w:r w:rsidRPr="009461C8">
        <w:rPr>
          <w:rFonts w:hint="eastAsia"/>
        </w:rPr>
        <w:t>，</w:t>
      </w:r>
      <w:r w:rsidR="00D96431" w:rsidRPr="009461C8">
        <w:rPr>
          <w:rFonts w:hint="eastAsia"/>
        </w:rPr>
        <w:t>置换一般债券</w:t>
      </w:r>
      <w:r w:rsidR="009461C8" w:rsidRPr="009461C8">
        <w:rPr>
          <w:rFonts w:hint="eastAsia"/>
        </w:rPr>
        <w:t>用于偿还经清理甄别后确定的截至</w:t>
      </w:r>
      <w:r w:rsidR="009461C8" w:rsidRPr="009461C8">
        <w:rPr>
          <w:rFonts w:hint="eastAsia"/>
        </w:rPr>
        <w:t>2015</w:t>
      </w:r>
      <w:r w:rsidR="009461C8" w:rsidRPr="009461C8">
        <w:rPr>
          <w:rFonts w:hint="eastAsia"/>
        </w:rPr>
        <w:t>年</w:t>
      </w:r>
      <w:r w:rsidR="009461C8" w:rsidRPr="009461C8">
        <w:rPr>
          <w:rFonts w:hint="eastAsia"/>
        </w:rPr>
        <w:t>12</w:t>
      </w:r>
      <w:r w:rsidR="009461C8" w:rsidRPr="009461C8">
        <w:rPr>
          <w:rFonts w:hint="eastAsia"/>
        </w:rPr>
        <w:t>月</w:t>
      </w:r>
      <w:r w:rsidR="009461C8" w:rsidRPr="009461C8">
        <w:rPr>
          <w:rFonts w:hint="eastAsia"/>
        </w:rPr>
        <w:t>31</w:t>
      </w:r>
      <w:r w:rsidR="009461C8" w:rsidRPr="009461C8">
        <w:rPr>
          <w:rFonts w:hint="eastAsia"/>
        </w:rPr>
        <w:t>日地方政府债务本金</w:t>
      </w:r>
      <w:r w:rsidR="0015667C" w:rsidRPr="009461C8">
        <w:rPr>
          <w:rFonts w:hint="eastAsia"/>
        </w:rPr>
        <w:t>。</w:t>
      </w:r>
    </w:p>
    <w:p w:rsidR="00B12D88" w:rsidRPr="00094226" w:rsidRDefault="00C40D64" w:rsidP="002628A2">
      <w:pPr>
        <w:tabs>
          <w:tab w:val="center" w:pos="4881"/>
          <w:tab w:val="left" w:pos="8430"/>
        </w:tabs>
        <w:spacing w:line="300" w:lineRule="auto"/>
        <w:ind w:firstLine="406"/>
        <w:jc w:val="left"/>
        <w:rPr>
          <w:rFonts w:eastAsia="黑体"/>
          <w:b/>
          <w:sz w:val="20"/>
          <w:szCs w:val="20"/>
        </w:rPr>
      </w:pPr>
      <w:r>
        <w:rPr>
          <w:rFonts w:eastAsia="黑体"/>
          <w:b/>
          <w:sz w:val="20"/>
          <w:szCs w:val="20"/>
        </w:rPr>
        <w:tab/>
      </w:r>
      <w:r w:rsidR="00B12D88" w:rsidRPr="009B56F7">
        <w:rPr>
          <w:rFonts w:eastAsia="黑体" w:hint="eastAsia"/>
          <w:b/>
          <w:sz w:val="20"/>
          <w:szCs w:val="20"/>
        </w:rPr>
        <w:t>表</w:t>
      </w:r>
      <w:r w:rsidR="009B52EC">
        <w:rPr>
          <w:rFonts w:eastAsia="黑体" w:hint="eastAsia"/>
          <w:b/>
          <w:sz w:val="20"/>
          <w:szCs w:val="20"/>
        </w:rPr>
        <w:t>6</w:t>
      </w:r>
      <w:r w:rsidR="00B12D88" w:rsidRPr="009B56F7">
        <w:rPr>
          <w:rFonts w:eastAsia="黑体" w:hint="eastAsia"/>
          <w:b/>
          <w:sz w:val="20"/>
          <w:szCs w:val="20"/>
        </w:rPr>
        <w:t>：拟发行的</w:t>
      </w:r>
      <w:r w:rsidRPr="0089114F">
        <w:rPr>
          <w:rFonts w:eastAsia="黑体"/>
          <w:b/>
          <w:sz w:val="20"/>
          <w:szCs w:val="20"/>
        </w:rPr>
        <w:t>201</w:t>
      </w:r>
      <w:r w:rsidRPr="009B56F7">
        <w:rPr>
          <w:rFonts w:eastAsia="黑体" w:hint="eastAsia"/>
          <w:b/>
          <w:sz w:val="20"/>
          <w:szCs w:val="20"/>
        </w:rPr>
        <w:t>6</w:t>
      </w:r>
      <w:r w:rsidR="00B12D88" w:rsidRPr="009B56F7">
        <w:rPr>
          <w:rFonts w:eastAsia="黑体" w:hint="eastAsia"/>
          <w:b/>
          <w:sz w:val="20"/>
          <w:szCs w:val="20"/>
        </w:rPr>
        <w:t>年</w:t>
      </w:r>
      <w:r w:rsidR="002C764B" w:rsidRPr="009B56F7">
        <w:rPr>
          <w:rFonts w:eastAsia="黑体" w:hint="eastAsia"/>
          <w:b/>
          <w:sz w:val="20"/>
          <w:szCs w:val="20"/>
        </w:rPr>
        <w:t>第</w:t>
      </w:r>
      <w:r w:rsidRPr="009B56F7">
        <w:rPr>
          <w:rFonts w:eastAsia="黑体" w:hint="eastAsia"/>
          <w:b/>
          <w:sz w:val="20"/>
          <w:szCs w:val="20"/>
        </w:rPr>
        <w:t>一</w:t>
      </w:r>
      <w:r w:rsidR="00B12D88" w:rsidRPr="009B56F7">
        <w:rPr>
          <w:rFonts w:eastAsia="黑体" w:hint="eastAsia"/>
          <w:b/>
          <w:sz w:val="20"/>
          <w:szCs w:val="20"/>
        </w:rPr>
        <w:t>批江苏省政府一般债券概况</w:t>
      </w:r>
      <w:r>
        <w:rPr>
          <w:rFonts w:eastAsia="黑体"/>
          <w:b/>
          <w:sz w:val="20"/>
          <w:szCs w:val="20"/>
        </w:rPr>
        <w:tab/>
      </w:r>
    </w:p>
    <w:tbl>
      <w:tblPr>
        <w:tblW w:w="9276" w:type="dxa"/>
        <w:jc w:val="center"/>
        <w:tblBorders>
          <w:top w:val="single" w:sz="4" w:space="0" w:color="auto"/>
          <w:bottom w:val="single" w:sz="4" w:space="0" w:color="auto"/>
          <w:insideH w:val="single" w:sz="4" w:space="0" w:color="999999"/>
          <w:insideV w:val="single" w:sz="4" w:space="0" w:color="999999"/>
        </w:tblBorders>
        <w:tblLook w:val="04A0" w:firstRow="1" w:lastRow="0" w:firstColumn="1" w:lastColumn="0" w:noHBand="0" w:noVBand="1"/>
      </w:tblPr>
      <w:tblGrid>
        <w:gridCol w:w="2365"/>
        <w:gridCol w:w="6911"/>
      </w:tblGrid>
      <w:tr w:rsidR="00B12D88" w:rsidRPr="00094226" w:rsidTr="00BD47AA">
        <w:trPr>
          <w:trHeight w:val="340"/>
          <w:jc w:val="center"/>
        </w:trPr>
        <w:tc>
          <w:tcPr>
            <w:tcW w:w="2365" w:type="dxa"/>
            <w:shd w:val="clear" w:color="000000" w:fill="0070C0"/>
            <w:vAlign w:val="center"/>
          </w:tcPr>
          <w:p w:rsidR="00B12D88" w:rsidRPr="00094226" w:rsidRDefault="00B12D88" w:rsidP="004A756E">
            <w:pPr>
              <w:widowControl/>
              <w:jc w:val="center"/>
              <w:rPr>
                <w:b/>
                <w:bCs/>
                <w:color w:val="FFFFFF"/>
                <w:kern w:val="0"/>
                <w:sz w:val="18"/>
                <w:szCs w:val="18"/>
              </w:rPr>
            </w:pPr>
            <w:r w:rsidRPr="00094226">
              <w:rPr>
                <w:b/>
                <w:bCs/>
                <w:color w:val="FFFFFF"/>
                <w:kern w:val="0"/>
                <w:sz w:val="18"/>
                <w:szCs w:val="18"/>
              </w:rPr>
              <w:t>项目</w:t>
            </w:r>
          </w:p>
        </w:tc>
        <w:tc>
          <w:tcPr>
            <w:tcW w:w="6911" w:type="dxa"/>
            <w:shd w:val="clear" w:color="000000" w:fill="0070C0"/>
            <w:vAlign w:val="center"/>
          </w:tcPr>
          <w:p w:rsidR="00B12D88" w:rsidRPr="00094226" w:rsidRDefault="00B12D88" w:rsidP="004A756E">
            <w:pPr>
              <w:widowControl/>
              <w:ind w:leftChars="-51" w:left="-107" w:rightChars="-20" w:right="-42"/>
              <w:jc w:val="center"/>
              <w:rPr>
                <w:b/>
                <w:bCs/>
                <w:color w:val="FFFFFF"/>
                <w:kern w:val="0"/>
                <w:sz w:val="18"/>
                <w:szCs w:val="18"/>
              </w:rPr>
            </w:pPr>
            <w:r w:rsidRPr="00094226">
              <w:rPr>
                <w:b/>
                <w:bCs/>
                <w:color w:val="FFFFFF"/>
                <w:kern w:val="0"/>
                <w:sz w:val="18"/>
                <w:szCs w:val="18"/>
              </w:rPr>
              <w:t>内容</w:t>
            </w:r>
          </w:p>
        </w:tc>
      </w:tr>
      <w:tr w:rsidR="009B56F7" w:rsidRPr="00094226" w:rsidTr="003D1341">
        <w:trPr>
          <w:trHeight w:val="340"/>
          <w:jc w:val="center"/>
        </w:trPr>
        <w:tc>
          <w:tcPr>
            <w:tcW w:w="2365" w:type="dxa"/>
            <w:shd w:val="clear" w:color="auto" w:fill="auto"/>
            <w:vAlign w:val="center"/>
          </w:tcPr>
          <w:p w:rsidR="009B56F7" w:rsidRPr="00094226" w:rsidRDefault="009B56F7" w:rsidP="004A756E">
            <w:pPr>
              <w:widowControl/>
              <w:jc w:val="center"/>
              <w:rPr>
                <w:color w:val="000000"/>
                <w:kern w:val="0"/>
                <w:sz w:val="18"/>
                <w:szCs w:val="18"/>
              </w:rPr>
            </w:pPr>
            <w:r w:rsidRPr="00094226">
              <w:rPr>
                <w:color w:val="000000"/>
                <w:kern w:val="0"/>
                <w:sz w:val="18"/>
                <w:szCs w:val="18"/>
              </w:rPr>
              <w:t>债券名称</w:t>
            </w:r>
          </w:p>
        </w:tc>
        <w:tc>
          <w:tcPr>
            <w:tcW w:w="6911" w:type="dxa"/>
            <w:shd w:val="clear" w:color="auto" w:fill="auto"/>
            <w:vAlign w:val="center"/>
          </w:tcPr>
          <w:p w:rsidR="009B56F7" w:rsidRPr="00094226" w:rsidRDefault="009B56F7" w:rsidP="003D1341">
            <w:pPr>
              <w:ind w:left="4" w:hangingChars="2" w:hanging="4"/>
              <w:rPr>
                <w:color w:val="000000"/>
                <w:sz w:val="18"/>
                <w:szCs w:val="18"/>
              </w:rPr>
            </w:pPr>
            <w:r>
              <w:rPr>
                <w:color w:val="000000"/>
                <w:sz w:val="18"/>
                <w:szCs w:val="18"/>
              </w:rPr>
              <w:t>2016</w:t>
            </w:r>
            <w:r>
              <w:rPr>
                <w:rFonts w:hint="eastAsia"/>
                <w:color w:val="000000"/>
                <w:sz w:val="18"/>
                <w:szCs w:val="18"/>
              </w:rPr>
              <w:t>年第一批</w:t>
            </w:r>
            <w:r w:rsidRPr="00D96431">
              <w:rPr>
                <w:rFonts w:hint="eastAsia"/>
                <w:color w:val="000000"/>
                <w:sz w:val="18"/>
                <w:szCs w:val="18"/>
              </w:rPr>
              <w:t>江苏省政府一般债券</w:t>
            </w:r>
          </w:p>
        </w:tc>
      </w:tr>
      <w:tr w:rsidR="009B56F7" w:rsidRPr="00094226" w:rsidTr="003D1341">
        <w:trPr>
          <w:trHeight w:val="340"/>
          <w:jc w:val="center"/>
        </w:trPr>
        <w:tc>
          <w:tcPr>
            <w:tcW w:w="2365" w:type="dxa"/>
            <w:shd w:val="clear" w:color="000000" w:fill="D3EDFB"/>
            <w:vAlign w:val="center"/>
          </w:tcPr>
          <w:p w:rsidR="009B56F7" w:rsidRPr="00094226" w:rsidRDefault="009B56F7" w:rsidP="004A756E">
            <w:pPr>
              <w:widowControl/>
              <w:jc w:val="center"/>
              <w:rPr>
                <w:color w:val="000000"/>
                <w:kern w:val="0"/>
                <w:sz w:val="18"/>
                <w:szCs w:val="18"/>
              </w:rPr>
            </w:pPr>
            <w:r w:rsidRPr="00094226">
              <w:rPr>
                <w:color w:val="000000"/>
                <w:kern w:val="0"/>
                <w:sz w:val="18"/>
                <w:szCs w:val="18"/>
              </w:rPr>
              <w:t>发行规模</w:t>
            </w:r>
          </w:p>
        </w:tc>
        <w:tc>
          <w:tcPr>
            <w:tcW w:w="6911" w:type="dxa"/>
            <w:shd w:val="clear" w:color="000000" w:fill="D3EDFB"/>
            <w:vAlign w:val="center"/>
          </w:tcPr>
          <w:p w:rsidR="009B56F7" w:rsidRPr="008121A7" w:rsidRDefault="009B56F7" w:rsidP="003D1341">
            <w:pPr>
              <w:widowControl/>
              <w:ind w:left="4" w:hangingChars="2" w:hanging="4"/>
              <w:rPr>
                <w:color w:val="000000"/>
                <w:kern w:val="0"/>
                <w:sz w:val="18"/>
                <w:szCs w:val="18"/>
              </w:rPr>
            </w:pPr>
            <w:r>
              <w:rPr>
                <w:rFonts w:hint="eastAsia"/>
                <w:color w:val="000000"/>
                <w:kern w:val="0"/>
                <w:sz w:val="18"/>
                <w:szCs w:val="18"/>
              </w:rPr>
              <w:t>人民币</w:t>
            </w:r>
            <w:r>
              <w:rPr>
                <w:color w:val="000000"/>
                <w:kern w:val="0"/>
                <w:sz w:val="18"/>
                <w:szCs w:val="18"/>
              </w:rPr>
              <w:t>608.6</w:t>
            </w:r>
            <w:r w:rsidR="00570650">
              <w:rPr>
                <w:rFonts w:hint="eastAsia"/>
                <w:color w:val="000000"/>
                <w:kern w:val="0"/>
                <w:sz w:val="18"/>
                <w:szCs w:val="18"/>
              </w:rPr>
              <w:t>0</w:t>
            </w:r>
            <w:r>
              <w:rPr>
                <w:rFonts w:hint="eastAsia"/>
                <w:color w:val="000000"/>
                <w:kern w:val="0"/>
                <w:sz w:val="18"/>
                <w:szCs w:val="18"/>
              </w:rPr>
              <w:t>亿元</w:t>
            </w:r>
          </w:p>
        </w:tc>
      </w:tr>
      <w:tr w:rsidR="009B56F7" w:rsidRPr="00094226" w:rsidTr="003D1341">
        <w:trPr>
          <w:trHeight w:val="340"/>
          <w:jc w:val="center"/>
        </w:trPr>
        <w:tc>
          <w:tcPr>
            <w:tcW w:w="2365" w:type="dxa"/>
            <w:shd w:val="clear" w:color="auto" w:fill="auto"/>
            <w:vAlign w:val="center"/>
          </w:tcPr>
          <w:p w:rsidR="009B56F7" w:rsidRPr="00094226" w:rsidRDefault="009B56F7" w:rsidP="004A756E">
            <w:pPr>
              <w:widowControl/>
              <w:jc w:val="center"/>
              <w:rPr>
                <w:color w:val="000000"/>
                <w:kern w:val="0"/>
                <w:sz w:val="18"/>
                <w:szCs w:val="18"/>
              </w:rPr>
            </w:pPr>
            <w:r w:rsidRPr="00094226">
              <w:rPr>
                <w:color w:val="000000"/>
                <w:kern w:val="0"/>
                <w:sz w:val="18"/>
                <w:szCs w:val="18"/>
              </w:rPr>
              <w:t>债券期限</w:t>
            </w:r>
          </w:p>
        </w:tc>
        <w:tc>
          <w:tcPr>
            <w:tcW w:w="6911" w:type="dxa"/>
            <w:shd w:val="clear" w:color="auto" w:fill="auto"/>
            <w:vAlign w:val="center"/>
          </w:tcPr>
          <w:p w:rsidR="009B56F7" w:rsidRPr="008121A7" w:rsidRDefault="009B56F7" w:rsidP="003D1341">
            <w:pPr>
              <w:widowControl/>
              <w:ind w:left="4" w:hangingChars="2" w:hanging="4"/>
              <w:rPr>
                <w:color w:val="000000"/>
                <w:kern w:val="0"/>
                <w:sz w:val="18"/>
                <w:szCs w:val="18"/>
              </w:rPr>
            </w:pPr>
            <w:r>
              <w:rPr>
                <w:color w:val="000000"/>
                <w:kern w:val="0"/>
                <w:sz w:val="18"/>
                <w:szCs w:val="18"/>
              </w:rPr>
              <w:t>3</w:t>
            </w:r>
            <w:r>
              <w:rPr>
                <w:rFonts w:hint="eastAsia"/>
                <w:color w:val="000000"/>
                <w:kern w:val="0"/>
                <w:sz w:val="18"/>
                <w:szCs w:val="18"/>
              </w:rPr>
              <w:t>年、</w:t>
            </w:r>
            <w:r>
              <w:rPr>
                <w:color w:val="000000"/>
                <w:kern w:val="0"/>
                <w:sz w:val="18"/>
                <w:szCs w:val="18"/>
              </w:rPr>
              <w:t>5</w:t>
            </w:r>
            <w:r>
              <w:rPr>
                <w:rFonts w:hint="eastAsia"/>
                <w:color w:val="000000"/>
                <w:kern w:val="0"/>
                <w:sz w:val="18"/>
                <w:szCs w:val="18"/>
              </w:rPr>
              <w:t>年、</w:t>
            </w:r>
            <w:r>
              <w:rPr>
                <w:color w:val="000000"/>
                <w:kern w:val="0"/>
                <w:sz w:val="18"/>
                <w:szCs w:val="18"/>
              </w:rPr>
              <w:t>7</w:t>
            </w:r>
            <w:r>
              <w:rPr>
                <w:rFonts w:hint="eastAsia"/>
                <w:color w:val="000000"/>
                <w:kern w:val="0"/>
                <w:sz w:val="18"/>
                <w:szCs w:val="18"/>
              </w:rPr>
              <w:t>年、</w:t>
            </w:r>
            <w:r>
              <w:rPr>
                <w:color w:val="000000"/>
                <w:kern w:val="0"/>
                <w:sz w:val="18"/>
                <w:szCs w:val="18"/>
              </w:rPr>
              <w:t>10</w:t>
            </w:r>
            <w:r>
              <w:rPr>
                <w:rFonts w:hint="eastAsia"/>
                <w:color w:val="000000"/>
                <w:kern w:val="0"/>
                <w:sz w:val="18"/>
                <w:szCs w:val="18"/>
              </w:rPr>
              <w:t>年，计划发行规模分别为</w:t>
            </w:r>
            <w:r w:rsidRPr="00D96431">
              <w:rPr>
                <w:color w:val="000000"/>
                <w:kern w:val="0"/>
                <w:sz w:val="18"/>
                <w:szCs w:val="18"/>
              </w:rPr>
              <w:t>1</w:t>
            </w:r>
            <w:r>
              <w:rPr>
                <w:color w:val="000000"/>
                <w:kern w:val="0"/>
                <w:sz w:val="18"/>
                <w:szCs w:val="18"/>
              </w:rPr>
              <w:t>21.8</w:t>
            </w:r>
            <w:r w:rsidR="00570650">
              <w:rPr>
                <w:rFonts w:hint="eastAsia"/>
                <w:color w:val="000000"/>
                <w:kern w:val="0"/>
                <w:sz w:val="18"/>
                <w:szCs w:val="18"/>
              </w:rPr>
              <w:t>0</w:t>
            </w:r>
            <w:r>
              <w:rPr>
                <w:rFonts w:hint="eastAsia"/>
                <w:color w:val="000000"/>
                <w:kern w:val="0"/>
                <w:sz w:val="18"/>
                <w:szCs w:val="18"/>
              </w:rPr>
              <w:t>亿元（占</w:t>
            </w:r>
            <w:r>
              <w:rPr>
                <w:color w:val="000000"/>
                <w:kern w:val="0"/>
                <w:sz w:val="18"/>
                <w:szCs w:val="18"/>
              </w:rPr>
              <w:t>20%</w:t>
            </w:r>
            <w:r>
              <w:rPr>
                <w:rFonts w:hint="eastAsia"/>
                <w:color w:val="000000"/>
                <w:kern w:val="0"/>
                <w:sz w:val="18"/>
                <w:szCs w:val="18"/>
              </w:rPr>
              <w:t>）、</w:t>
            </w:r>
            <w:r>
              <w:rPr>
                <w:color w:val="000000"/>
                <w:kern w:val="0"/>
                <w:sz w:val="18"/>
                <w:szCs w:val="18"/>
              </w:rPr>
              <w:t>182.5</w:t>
            </w:r>
            <w:r w:rsidR="00570650">
              <w:rPr>
                <w:rFonts w:hint="eastAsia"/>
                <w:color w:val="000000"/>
                <w:kern w:val="0"/>
                <w:sz w:val="18"/>
                <w:szCs w:val="18"/>
              </w:rPr>
              <w:t>0</w:t>
            </w:r>
            <w:r>
              <w:rPr>
                <w:rFonts w:hint="eastAsia"/>
                <w:color w:val="000000"/>
                <w:kern w:val="0"/>
                <w:sz w:val="18"/>
                <w:szCs w:val="18"/>
              </w:rPr>
              <w:t>亿元（占</w:t>
            </w:r>
            <w:r>
              <w:rPr>
                <w:color w:val="000000"/>
                <w:kern w:val="0"/>
                <w:sz w:val="18"/>
                <w:szCs w:val="18"/>
              </w:rPr>
              <w:t>30%</w:t>
            </w:r>
            <w:r>
              <w:rPr>
                <w:rFonts w:hint="eastAsia"/>
                <w:color w:val="000000"/>
                <w:kern w:val="0"/>
                <w:sz w:val="18"/>
                <w:szCs w:val="18"/>
              </w:rPr>
              <w:t>）、</w:t>
            </w:r>
            <w:r>
              <w:rPr>
                <w:color w:val="000000"/>
                <w:kern w:val="0"/>
                <w:sz w:val="18"/>
                <w:szCs w:val="18"/>
              </w:rPr>
              <w:t>182.5</w:t>
            </w:r>
            <w:r w:rsidR="00570650">
              <w:rPr>
                <w:rFonts w:hint="eastAsia"/>
                <w:color w:val="000000"/>
                <w:kern w:val="0"/>
                <w:sz w:val="18"/>
                <w:szCs w:val="18"/>
              </w:rPr>
              <w:t>0</w:t>
            </w:r>
            <w:r>
              <w:rPr>
                <w:rFonts w:hint="eastAsia"/>
                <w:color w:val="000000"/>
                <w:kern w:val="0"/>
                <w:sz w:val="18"/>
                <w:szCs w:val="18"/>
              </w:rPr>
              <w:t>亿元（占</w:t>
            </w:r>
            <w:r>
              <w:rPr>
                <w:color w:val="000000"/>
                <w:kern w:val="0"/>
                <w:sz w:val="18"/>
                <w:szCs w:val="18"/>
              </w:rPr>
              <w:t>30%</w:t>
            </w:r>
            <w:r>
              <w:rPr>
                <w:rFonts w:hint="eastAsia"/>
                <w:color w:val="000000"/>
                <w:kern w:val="0"/>
                <w:sz w:val="18"/>
                <w:szCs w:val="18"/>
              </w:rPr>
              <w:t>）、</w:t>
            </w:r>
            <w:r w:rsidRPr="00D96431">
              <w:rPr>
                <w:color w:val="000000"/>
                <w:kern w:val="0"/>
                <w:sz w:val="18"/>
                <w:szCs w:val="18"/>
              </w:rPr>
              <w:t>1</w:t>
            </w:r>
            <w:r>
              <w:rPr>
                <w:color w:val="000000"/>
                <w:kern w:val="0"/>
                <w:sz w:val="18"/>
                <w:szCs w:val="18"/>
              </w:rPr>
              <w:t>21.8</w:t>
            </w:r>
            <w:r w:rsidR="00570650">
              <w:rPr>
                <w:rFonts w:hint="eastAsia"/>
                <w:color w:val="000000"/>
                <w:kern w:val="0"/>
                <w:sz w:val="18"/>
                <w:szCs w:val="18"/>
              </w:rPr>
              <w:t>0</w:t>
            </w:r>
            <w:r>
              <w:rPr>
                <w:rFonts w:hint="eastAsia"/>
                <w:color w:val="000000"/>
                <w:kern w:val="0"/>
                <w:sz w:val="18"/>
                <w:szCs w:val="18"/>
              </w:rPr>
              <w:t>亿元（占</w:t>
            </w:r>
            <w:r>
              <w:rPr>
                <w:color w:val="000000"/>
                <w:kern w:val="0"/>
                <w:sz w:val="18"/>
                <w:szCs w:val="18"/>
              </w:rPr>
              <w:t>20%</w:t>
            </w:r>
            <w:r>
              <w:rPr>
                <w:rFonts w:hint="eastAsia"/>
                <w:color w:val="000000"/>
                <w:kern w:val="0"/>
                <w:sz w:val="18"/>
                <w:szCs w:val="18"/>
              </w:rPr>
              <w:t>）</w:t>
            </w:r>
          </w:p>
        </w:tc>
      </w:tr>
      <w:tr w:rsidR="0015667C" w:rsidRPr="00094226" w:rsidTr="003D1341">
        <w:trPr>
          <w:trHeight w:val="340"/>
          <w:jc w:val="center"/>
        </w:trPr>
        <w:tc>
          <w:tcPr>
            <w:tcW w:w="2365" w:type="dxa"/>
            <w:shd w:val="clear" w:color="auto" w:fill="D3EDFB"/>
            <w:vAlign w:val="center"/>
          </w:tcPr>
          <w:p w:rsidR="0015667C" w:rsidRPr="00094226" w:rsidRDefault="0015667C" w:rsidP="004A756E">
            <w:pPr>
              <w:widowControl/>
              <w:jc w:val="center"/>
              <w:rPr>
                <w:color w:val="000000"/>
                <w:kern w:val="0"/>
                <w:sz w:val="18"/>
                <w:szCs w:val="18"/>
              </w:rPr>
            </w:pPr>
            <w:r>
              <w:rPr>
                <w:rFonts w:hint="eastAsia"/>
                <w:color w:val="000000"/>
                <w:kern w:val="0"/>
                <w:sz w:val="18"/>
                <w:szCs w:val="18"/>
              </w:rPr>
              <w:t>资金用途</w:t>
            </w:r>
          </w:p>
        </w:tc>
        <w:tc>
          <w:tcPr>
            <w:tcW w:w="6911" w:type="dxa"/>
            <w:shd w:val="clear" w:color="auto" w:fill="D3EDFB"/>
            <w:vAlign w:val="center"/>
          </w:tcPr>
          <w:p w:rsidR="0015667C" w:rsidRPr="00094226" w:rsidRDefault="009461C8" w:rsidP="003D1341">
            <w:pPr>
              <w:widowControl/>
              <w:ind w:left="4" w:hangingChars="2" w:hanging="4"/>
              <w:rPr>
                <w:color w:val="000000"/>
                <w:kern w:val="0"/>
                <w:sz w:val="18"/>
                <w:szCs w:val="18"/>
              </w:rPr>
            </w:pPr>
            <w:r w:rsidRPr="009461C8">
              <w:rPr>
                <w:rFonts w:hint="eastAsia"/>
                <w:color w:val="000000"/>
                <w:kern w:val="0"/>
                <w:sz w:val="18"/>
                <w:szCs w:val="18"/>
              </w:rPr>
              <w:t>用</w:t>
            </w:r>
            <w:r w:rsidRPr="002628A2">
              <w:rPr>
                <w:rFonts w:hint="eastAsia"/>
                <w:color w:val="000000"/>
                <w:sz w:val="18"/>
                <w:szCs w:val="18"/>
              </w:rPr>
              <w:t>于偿还经清理甄别后确定的截至</w:t>
            </w:r>
            <w:r w:rsidRPr="002628A2">
              <w:rPr>
                <w:color w:val="000000"/>
                <w:sz w:val="18"/>
                <w:szCs w:val="18"/>
              </w:rPr>
              <w:t>2015</w:t>
            </w:r>
            <w:r w:rsidRPr="002628A2">
              <w:rPr>
                <w:rFonts w:hint="eastAsia"/>
                <w:color w:val="000000"/>
                <w:sz w:val="18"/>
                <w:szCs w:val="18"/>
              </w:rPr>
              <w:t>年</w:t>
            </w:r>
            <w:r w:rsidRPr="002628A2">
              <w:rPr>
                <w:color w:val="000000"/>
                <w:sz w:val="18"/>
                <w:szCs w:val="18"/>
              </w:rPr>
              <w:t>12</w:t>
            </w:r>
            <w:r w:rsidRPr="002628A2">
              <w:rPr>
                <w:rFonts w:hint="eastAsia"/>
                <w:color w:val="000000"/>
                <w:sz w:val="18"/>
                <w:szCs w:val="18"/>
              </w:rPr>
              <w:t>月</w:t>
            </w:r>
            <w:r w:rsidRPr="002628A2">
              <w:rPr>
                <w:color w:val="000000"/>
                <w:sz w:val="18"/>
                <w:szCs w:val="18"/>
              </w:rPr>
              <w:t>31</w:t>
            </w:r>
            <w:r w:rsidRPr="002628A2">
              <w:rPr>
                <w:rFonts w:hint="eastAsia"/>
                <w:color w:val="000000"/>
                <w:sz w:val="18"/>
                <w:szCs w:val="18"/>
              </w:rPr>
              <w:t>日地方政府债务本金</w:t>
            </w:r>
          </w:p>
        </w:tc>
      </w:tr>
      <w:tr w:rsidR="009B56F7" w:rsidRPr="00094226" w:rsidTr="003D1341">
        <w:trPr>
          <w:trHeight w:val="340"/>
          <w:jc w:val="center"/>
        </w:trPr>
        <w:tc>
          <w:tcPr>
            <w:tcW w:w="2365" w:type="dxa"/>
            <w:shd w:val="clear" w:color="auto" w:fill="auto"/>
            <w:vAlign w:val="center"/>
          </w:tcPr>
          <w:p w:rsidR="009B56F7" w:rsidRPr="00094226" w:rsidRDefault="009B56F7" w:rsidP="004A756E">
            <w:pPr>
              <w:widowControl/>
              <w:jc w:val="center"/>
              <w:rPr>
                <w:color w:val="000000"/>
                <w:kern w:val="0"/>
                <w:sz w:val="18"/>
                <w:szCs w:val="18"/>
              </w:rPr>
            </w:pPr>
            <w:r w:rsidRPr="00094226">
              <w:rPr>
                <w:color w:val="000000"/>
                <w:kern w:val="0"/>
                <w:sz w:val="18"/>
                <w:szCs w:val="18"/>
              </w:rPr>
              <w:t>债券利率</w:t>
            </w:r>
          </w:p>
        </w:tc>
        <w:tc>
          <w:tcPr>
            <w:tcW w:w="6911" w:type="dxa"/>
            <w:shd w:val="clear" w:color="auto" w:fill="auto"/>
            <w:vAlign w:val="center"/>
          </w:tcPr>
          <w:p w:rsidR="009B56F7" w:rsidRPr="00094226" w:rsidRDefault="009B56F7" w:rsidP="003D1341">
            <w:pPr>
              <w:widowControl/>
              <w:ind w:left="4" w:hangingChars="2" w:hanging="4"/>
              <w:rPr>
                <w:color w:val="000000"/>
                <w:kern w:val="0"/>
                <w:sz w:val="18"/>
                <w:szCs w:val="18"/>
              </w:rPr>
            </w:pPr>
            <w:r>
              <w:rPr>
                <w:rFonts w:hint="eastAsia"/>
                <w:color w:val="000000"/>
                <w:kern w:val="0"/>
                <w:sz w:val="18"/>
                <w:szCs w:val="18"/>
              </w:rPr>
              <w:t>固定利率</w:t>
            </w:r>
          </w:p>
        </w:tc>
      </w:tr>
      <w:tr w:rsidR="009B56F7" w:rsidRPr="00094226" w:rsidTr="003D1341">
        <w:trPr>
          <w:trHeight w:val="340"/>
          <w:jc w:val="center"/>
        </w:trPr>
        <w:tc>
          <w:tcPr>
            <w:tcW w:w="2365" w:type="dxa"/>
            <w:shd w:val="clear" w:color="000000" w:fill="D3EDFB"/>
            <w:vAlign w:val="center"/>
          </w:tcPr>
          <w:p w:rsidR="009B56F7" w:rsidRPr="00094226" w:rsidRDefault="009B56F7" w:rsidP="004A756E">
            <w:pPr>
              <w:widowControl/>
              <w:jc w:val="center"/>
              <w:rPr>
                <w:color w:val="000000"/>
                <w:kern w:val="0"/>
                <w:sz w:val="18"/>
                <w:szCs w:val="18"/>
              </w:rPr>
            </w:pPr>
            <w:r w:rsidRPr="000C290F">
              <w:rPr>
                <w:rFonts w:hint="eastAsia"/>
                <w:color w:val="000000"/>
                <w:kern w:val="0"/>
                <w:sz w:val="18"/>
                <w:szCs w:val="18"/>
              </w:rPr>
              <w:t>付息方式</w:t>
            </w:r>
          </w:p>
        </w:tc>
        <w:tc>
          <w:tcPr>
            <w:tcW w:w="6911" w:type="dxa"/>
            <w:shd w:val="clear" w:color="000000" w:fill="D3EDFB"/>
            <w:vAlign w:val="center"/>
          </w:tcPr>
          <w:p w:rsidR="009B56F7" w:rsidRPr="00094226" w:rsidRDefault="009B56F7" w:rsidP="003D1341">
            <w:pPr>
              <w:widowControl/>
              <w:ind w:left="4" w:hangingChars="2" w:hanging="4"/>
              <w:rPr>
                <w:color w:val="000000"/>
                <w:kern w:val="0"/>
                <w:sz w:val="18"/>
                <w:szCs w:val="18"/>
              </w:rPr>
            </w:pPr>
            <w:r>
              <w:rPr>
                <w:color w:val="000000"/>
                <w:kern w:val="0"/>
                <w:sz w:val="18"/>
                <w:szCs w:val="18"/>
              </w:rPr>
              <w:t>3</w:t>
            </w:r>
            <w:r>
              <w:rPr>
                <w:rFonts w:hint="eastAsia"/>
                <w:color w:val="000000"/>
                <w:kern w:val="0"/>
                <w:sz w:val="18"/>
                <w:szCs w:val="18"/>
              </w:rPr>
              <w:t>年期、</w:t>
            </w:r>
            <w:r>
              <w:rPr>
                <w:color w:val="000000"/>
                <w:kern w:val="0"/>
                <w:sz w:val="18"/>
                <w:szCs w:val="18"/>
              </w:rPr>
              <w:t>5</w:t>
            </w:r>
            <w:r>
              <w:rPr>
                <w:rFonts w:hint="eastAsia"/>
                <w:color w:val="000000"/>
                <w:kern w:val="0"/>
                <w:sz w:val="18"/>
                <w:szCs w:val="18"/>
              </w:rPr>
              <w:t>年期、</w:t>
            </w:r>
            <w:r>
              <w:rPr>
                <w:color w:val="000000"/>
                <w:kern w:val="0"/>
                <w:sz w:val="18"/>
                <w:szCs w:val="18"/>
              </w:rPr>
              <w:t>7</w:t>
            </w:r>
            <w:r>
              <w:rPr>
                <w:rFonts w:hint="eastAsia"/>
                <w:color w:val="000000"/>
                <w:kern w:val="0"/>
                <w:sz w:val="18"/>
                <w:szCs w:val="18"/>
              </w:rPr>
              <w:t>年期的江苏省政府一般债券利息按年支付；</w:t>
            </w:r>
            <w:r>
              <w:rPr>
                <w:color w:val="000000"/>
                <w:kern w:val="0"/>
                <w:sz w:val="18"/>
                <w:szCs w:val="18"/>
              </w:rPr>
              <w:t>10</w:t>
            </w:r>
            <w:r>
              <w:rPr>
                <w:rFonts w:hint="eastAsia"/>
                <w:color w:val="000000"/>
                <w:kern w:val="0"/>
                <w:sz w:val="18"/>
                <w:szCs w:val="18"/>
              </w:rPr>
              <w:t>年期的江苏省政府一般债券利息按半年支付。</w:t>
            </w:r>
          </w:p>
        </w:tc>
      </w:tr>
      <w:tr w:rsidR="009B56F7" w:rsidRPr="00094226" w:rsidTr="003D1341">
        <w:trPr>
          <w:trHeight w:val="340"/>
          <w:jc w:val="center"/>
        </w:trPr>
        <w:tc>
          <w:tcPr>
            <w:tcW w:w="2365" w:type="dxa"/>
            <w:shd w:val="clear" w:color="auto" w:fill="auto"/>
            <w:vAlign w:val="center"/>
          </w:tcPr>
          <w:p w:rsidR="009B56F7" w:rsidRPr="00094226" w:rsidRDefault="009B56F7" w:rsidP="004A756E">
            <w:pPr>
              <w:widowControl/>
              <w:jc w:val="center"/>
              <w:rPr>
                <w:color w:val="000000"/>
                <w:kern w:val="0"/>
                <w:sz w:val="18"/>
                <w:szCs w:val="18"/>
              </w:rPr>
            </w:pPr>
            <w:r w:rsidRPr="009229AD">
              <w:rPr>
                <w:color w:val="000000"/>
                <w:kern w:val="0"/>
                <w:sz w:val="18"/>
                <w:szCs w:val="18"/>
              </w:rPr>
              <w:t>增级安排</w:t>
            </w:r>
          </w:p>
        </w:tc>
        <w:tc>
          <w:tcPr>
            <w:tcW w:w="6911" w:type="dxa"/>
            <w:shd w:val="clear" w:color="auto" w:fill="auto"/>
            <w:vAlign w:val="center"/>
          </w:tcPr>
          <w:p w:rsidR="009B56F7" w:rsidRPr="00094226" w:rsidRDefault="009B56F7" w:rsidP="003D1341">
            <w:pPr>
              <w:widowControl/>
              <w:ind w:left="4" w:hangingChars="2" w:hanging="4"/>
              <w:rPr>
                <w:color w:val="000000"/>
                <w:kern w:val="0"/>
                <w:sz w:val="18"/>
                <w:szCs w:val="18"/>
              </w:rPr>
            </w:pPr>
            <w:r>
              <w:rPr>
                <w:rFonts w:hint="eastAsia"/>
                <w:color w:val="000000"/>
                <w:kern w:val="0"/>
                <w:sz w:val="18"/>
                <w:szCs w:val="18"/>
              </w:rPr>
              <w:t>无</w:t>
            </w:r>
          </w:p>
        </w:tc>
      </w:tr>
    </w:tbl>
    <w:p w:rsidR="00B12D88" w:rsidRPr="000A0937" w:rsidRDefault="00B12D88" w:rsidP="0086308A">
      <w:pPr>
        <w:widowControl/>
        <w:tabs>
          <w:tab w:val="num" w:pos="426"/>
        </w:tabs>
        <w:spacing w:afterLines="50" w:after="156" w:line="240" w:lineRule="exact"/>
        <w:ind w:firstLineChars="28" w:firstLine="42"/>
        <w:rPr>
          <w:rFonts w:eastAsia="黑体"/>
          <w:sz w:val="15"/>
          <w:szCs w:val="15"/>
        </w:rPr>
      </w:pPr>
      <w:r w:rsidRPr="00094226">
        <w:rPr>
          <w:rFonts w:eastAsia="黑体"/>
          <w:sz w:val="15"/>
          <w:szCs w:val="15"/>
        </w:rPr>
        <w:t>资料来源：江苏省财政厅提供，中债资信整理</w:t>
      </w:r>
    </w:p>
    <w:p w:rsidR="00B12D88" w:rsidRPr="00865958" w:rsidRDefault="00B12D88" w:rsidP="00B12D88">
      <w:pPr>
        <w:spacing w:line="300" w:lineRule="auto"/>
        <w:ind w:firstLineChars="202" w:firstLine="426"/>
        <w:rPr>
          <w:color w:val="000000"/>
        </w:rPr>
      </w:pPr>
      <w:r w:rsidRPr="006D3D41">
        <w:rPr>
          <w:rFonts w:hint="eastAsia"/>
          <w:b/>
          <w:bCs/>
        </w:rPr>
        <w:t>偿债安排及本批债券保障指标方面</w:t>
      </w:r>
      <w:r w:rsidRPr="006D3D41">
        <w:rPr>
          <w:rFonts w:hint="eastAsia"/>
        </w:rPr>
        <w:t>，</w:t>
      </w:r>
      <w:r w:rsidR="006D3D41" w:rsidRPr="006D3D41">
        <w:rPr>
          <w:rFonts w:hint="eastAsia"/>
        </w:rPr>
        <w:t>本批债券偿债资金纳入一般公共预算，江苏省财力对本批债券的偿还保障程度很高。本批债券发行规模</w:t>
      </w:r>
      <w:r w:rsidR="006D3D41" w:rsidRPr="006D3D41">
        <w:t>/</w:t>
      </w:r>
      <w:r w:rsidR="00C40D64" w:rsidRPr="006D3D41">
        <w:t>201</w:t>
      </w:r>
      <w:r w:rsidR="00C40D64">
        <w:rPr>
          <w:rFonts w:hint="eastAsia"/>
        </w:rPr>
        <w:t>5</w:t>
      </w:r>
      <w:r w:rsidR="006D3D41" w:rsidRPr="006D3D41">
        <w:rPr>
          <w:rFonts w:hint="eastAsia"/>
        </w:rPr>
        <w:t>年全省一般公共预算收入为</w:t>
      </w:r>
      <w:r w:rsidR="0089114F" w:rsidRPr="002628A2">
        <w:t>7.58</w:t>
      </w:r>
      <w:r w:rsidR="006D3D41" w:rsidRPr="0089114F">
        <w:t>%</w:t>
      </w:r>
      <w:r w:rsidR="006D3D41" w:rsidRPr="006D3D41">
        <w:rPr>
          <w:rFonts w:hint="eastAsia"/>
        </w:rPr>
        <w:t>，本批债券发行规模</w:t>
      </w:r>
      <w:r w:rsidR="006D3D41" w:rsidRPr="006D3D41">
        <w:t>/</w:t>
      </w:r>
      <w:r w:rsidR="00C40D64" w:rsidRPr="006D3D41">
        <w:t>201</w:t>
      </w:r>
      <w:r w:rsidR="00C40D64">
        <w:rPr>
          <w:rFonts w:hint="eastAsia"/>
        </w:rPr>
        <w:t>5</w:t>
      </w:r>
      <w:r w:rsidR="006D3D41" w:rsidRPr="006D3D41">
        <w:rPr>
          <w:rFonts w:hint="eastAsia"/>
        </w:rPr>
        <w:t>年全省综合财力为</w:t>
      </w:r>
      <w:r w:rsidR="003F0170" w:rsidRPr="002628A2">
        <w:t>3.94</w:t>
      </w:r>
      <w:r w:rsidR="006D3D41" w:rsidRPr="003F0170">
        <w:t>%</w:t>
      </w:r>
      <w:r w:rsidR="006D3D41" w:rsidRPr="006D3D41">
        <w:rPr>
          <w:rFonts w:hint="eastAsia"/>
        </w:rPr>
        <w:t>。</w:t>
      </w:r>
    </w:p>
    <w:p w:rsidR="00B12D88" w:rsidRPr="00094226" w:rsidRDefault="00B12D88" w:rsidP="0089114F">
      <w:pPr>
        <w:spacing w:line="300" w:lineRule="auto"/>
        <w:ind w:firstLineChars="202" w:firstLine="426"/>
        <w:rPr>
          <w:rFonts w:eastAsia="黑体"/>
          <w:b/>
          <w:sz w:val="24"/>
        </w:rPr>
      </w:pPr>
      <w:r w:rsidRPr="00C05F86">
        <w:rPr>
          <w:rFonts w:hint="eastAsia"/>
          <w:b/>
          <w:color w:val="000000"/>
          <w:lang w:val="x-none"/>
        </w:rPr>
        <w:t>综上所述，</w:t>
      </w:r>
      <w:r w:rsidRPr="00094226">
        <w:rPr>
          <w:b/>
          <w:color w:val="000000"/>
          <w:lang w:val="x-none"/>
        </w:rPr>
        <w:t>中债资信评定</w:t>
      </w:r>
      <w:r w:rsidRPr="00094226">
        <w:rPr>
          <w:b/>
          <w:color w:val="000000"/>
          <w:lang w:val="x-none"/>
        </w:rPr>
        <w:t>20</w:t>
      </w:r>
      <w:r w:rsidRPr="00ED419A">
        <w:rPr>
          <w:b/>
          <w:color w:val="000000"/>
          <w:lang w:val="x-none"/>
        </w:rPr>
        <w:t>1</w:t>
      </w:r>
      <w:r w:rsidR="003D1341">
        <w:rPr>
          <w:rFonts w:hint="eastAsia"/>
          <w:b/>
          <w:color w:val="000000"/>
          <w:lang w:val="x-none"/>
        </w:rPr>
        <w:t>6</w:t>
      </w:r>
      <w:r w:rsidRPr="00ED419A">
        <w:rPr>
          <w:b/>
          <w:color w:val="000000"/>
          <w:lang w:val="x-none"/>
        </w:rPr>
        <w:t>年</w:t>
      </w:r>
      <w:r w:rsidRPr="00ED419A">
        <w:rPr>
          <w:rFonts w:hint="eastAsia"/>
          <w:b/>
          <w:color w:val="000000"/>
          <w:lang w:val="x-none"/>
        </w:rPr>
        <w:t>第</w:t>
      </w:r>
      <w:r w:rsidR="003D1341">
        <w:rPr>
          <w:rFonts w:hint="eastAsia"/>
          <w:b/>
          <w:color w:val="000000"/>
          <w:lang w:val="x-none"/>
        </w:rPr>
        <w:t>一</w:t>
      </w:r>
      <w:r w:rsidRPr="00ED419A">
        <w:rPr>
          <w:rFonts w:hint="eastAsia"/>
          <w:b/>
          <w:color w:val="000000"/>
          <w:lang w:val="x-none"/>
        </w:rPr>
        <w:t>批</w:t>
      </w:r>
      <w:r w:rsidRPr="00ED419A">
        <w:rPr>
          <w:b/>
          <w:color w:val="000000"/>
          <w:lang w:val="x-none"/>
        </w:rPr>
        <w:t>江苏</w:t>
      </w:r>
      <w:r w:rsidRPr="00094226">
        <w:rPr>
          <w:b/>
          <w:color w:val="000000"/>
          <w:lang w:val="x-none"/>
        </w:rPr>
        <w:t>省政府一般债券的信用等级为</w:t>
      </w:r>
      <w:r w:rsidRPr="00094226">
        <w:rPr>
          <w:b/>
          <w:color w:val="000000"/>
          <w:lang w:val="x-none"/>
        </w:rPr>
        <w:t>AAA</w:t>
      </w:r>
      <w:r w:rsidRPr="00094226">
        <w:rPr>
          <w:b/>
          <w:color w:val="000000"/>
          <w:lang w:val="x-none"/>
        </w:rPr>
        <w:t>。</w:t>
      </w:r>
      <w:r w:rsidRPr="00094226">
        <w:rPr>
          <w:szCs w:val="21"/>
        </w:rPr>
        <w:br w:type="page"/>
      </w:r>
      <w:r w:rsidRPr="00094226">
        <w:rPr>
          <w:rFonts w:eastAsia="黑体"/>
          <w:b/>
          <w:sz w:val="24"/>
        </w:rPr>
        <w:lastRenderedPageBreak/>
        <w:t>附件一：</w:t>
      </w:r>
    </w:p>
    <w:p w:rsidR="00B12D88" w:rsidRPr="00094226" w:rsidRDefault="00B12D88" w:rsidP="00B12D88">
      <w:pPr>
        <w:adjustRightInd w:val="0"/>
        <w:snapToGrid w:val="0"/>
        <w:spacing w:line="300" w:lineRule="auto"/>
        <w:jc w:val="center"/>
        <w:outlineLvl w:val="0"/>
      </w:pPr>
      <w:r w:rsidRPr="00094226">
        <w:rPr>
          <w:rFonts w:eastAsia="黑体"/>
          <w:b/>
          <w:sz w:val="24"/>
        </w:rPr>
        <w:t>地方政府一般债券信用等级符号及含义</w:t>
      </w:r>
    </w:p>
    <w:p w:rsidR="00B12D88" w:rsidRPr="00094226" w:rsidRDefault="00B12D88" w:rsidP="00B12D88">
      <w:pPr>
        <w:spacing w:beforeLines="50" w:before="156" w:line="300" w:lineRule="auto"/>
        <w:ind w:firstLineChars="200" w:firstLine="420"/>
      </w:pPr>
      <w:r w:rsidRPr="00094226">
        <w:rPr>
          <w:color w:val="000000"/>
          <w:szCs w:val="21"/>
        </w:rPr>
        <w:t>根据财政部</w:t>
      </w:r>
      <w:r w:rsidRPr="00094226">
        <w:rPr>
          <w:color w:val="000000"/>
          <w:szCs w:val="21"/>
        </w:rPr>
        <w:t>2015</w:t>
      </w:r>
      <w:r w:rsidRPr="00094226">
        <w:rPr>
          <w:color w:val="000000"/>
          <w:szCs w:val="21"/>
        </w:rPr>
        <w:t>年</w:t>
      </w:r>
      <w:r w:rsidRPr="00094226">
        <w:rPr>
          <w:color w:val="000000"/>
          <w:szCs w:val="21"/>
        </w:rPr>
        <w:t>3</w:t>
      </w:r>
      <w:r w:rsidRPr="00094226">
        <w:rPr>
          <w:color w:val="000000"/>
          <w:szCs w:val="21"/>
        </w:rPr>
        <w:t>月发布的《</w:t>
      </w:r>
      <w:r w:rsidRPr="00094226">
        <w:rPr>
          <w:bCs/>
          <w:color w:val="000000"/>
          <w:szCs w:val="21"/>
        </w:rPr>
        <w:t>关于做好</w:t>
      </w:r>
      <w:r w:rsidRPr="00094226">
        <w:rPr>
          <w:bCs/>
          <w:color w:val="000000"/>
          <w:szCs w:val="21"/>
        </w:rPr>
        <w:t>2015</w:t>
      </w:r>
      <w:r w:rsidRPr="00094226">
        <w:rPr>
          <w:bCs/>
          <w:color w:val="000000"/>
          <w:szCs w:val="21"/>
        </w:rPr>
        <w:t>年地方政府一般债券发行工作的通知</w:t>
      </w:r>
      <w:r w:rsidRPr="00094226">
        <w:rPr>
          <w:color w:val="000000"/>
          <w:szCs w:val="21"/>
        </w:rPr>
        <w:t>》（财库〔</w:t>
      </w:r>
      <w:r w:rsidRPr="00094226">
        <w:rPr>
          <w:color w:val="000000"/>
          <w:szCs w:val="21"/>
        </w:rPr>
        <w:t>2015</w:t>
      </w:r>
      <w:r w:rsidRPr="00094226">
        <w:rPr>
          <w:color w:val="000000"/>
          <w:szCs w:val="21"/>
        </w:rPr>
        <w:t>〕</w:t>
      </w:r>
      <w:r w:rsidRPr="00094226">
        <w:rPr>
          <w:color w:val="000000"/>
          <w:szCs w:val="21"/>
        </w:rPr>
        <w:t>68</w:t>
      </w:r>
      <w:r w:rsidRPr="00094226">
        <w:rPr>
          <w:color w:val="000000"/>
          <w:szCs w:val="21"/>
        </w:rPr>
        <w:t>号），一般债券信用评级等级划分为三等九级，符号表示为：</w:t>
      </w:r>
      <w:r w:rsidRPr="00094226">
        <w:rPr>
          <w:color w:val="000000"/>
          <w:szCs w:val="21"/>
        </w:rPr>
        <w:t>AAA</w:t>
      </w:r>
      <w:r w:rsidRPr="00094226">
        <w:rPr>
          <w:color w:val="000000"/>
          <w:szCs w:val="21"/>
        </w:rPr>
        <w:t>、</w:t>
      </w:r>
      <w:r w:rsidRPr="00094226">
        <w:rPr>
          <w:color w:val="000000"/>
          <w:szCs w:val="21"/>
        </w:rPr>
        <w:t>AA</w:t>
      </w:r>
      <w:r w:rsidRPr="00094226">
        <w:rPr>
          <w:color w:val="000000"/>
          <w:szCs w:val="21"/>
        </w:rPr>
        <w:t>、</w:t>
      </w:r>
      <w:r w:rsidRPr="00094226">
        <w:rPr>
          <w:color w:val="000000"/>
          <w:szCs w:val="21"/>
        </w:rPr>
        <w:t>A</w:t>
      </w:r>
      <w:r w:rsidRPr="00094226">
        <w:rPr>
          <w:color w:val="000000"/>
          <w:szCs w:val="21"/>
        </w:rPr>
        <w:t>、</w:t>
      </w:r>
      <w:r w:rsidRPr="00094226">
        <w:rPr>
          <w:color w:val="000000"/>
          <w:szCs w:val="21"/>
        </w:rPr>
        <w:t>BBB</w:t>
      </w:r>
      <w:r w:rsidRPr="00094226">
        <w:rPr>
          <w:color w:val="000000"/>
          <w:szCs w:val="21"/>
        </w:rPr>
        <w:t>、</w:t>
      </w:r>
      <w:r w:rsidRPr="00094226">
        <w:rPr>
          <w:color w:val="000000"/>
          <w:szCs w:val="21"/>
        </w:rPr>
        <w:t>BB</w:t>
      </w:r>
      <w:r w:rsidRPr="00094226">
        <w:rPr>
          <w:color w:val="000000"/>
          <w:szCs w:val="21"/>
        </w:rPr>
        <w:t>、</w:t>
      </w:r>
      <w:r w:rsidRPr="00094226">
        <w:rPr>
          <w:color w:val="000000"/>
          <w:szCs w:val="21"/>
        </w:rPr>
        <w:t>B</w:t>
      </w:r>
      <w:r w:rsidRPr="00094226">
        <w:rPr>
          <w:color w:val="000000"/>
          <w:szCs w:val="21"/>
        </w:rPr>
        <w:t>、</w:t>
      </w:r>
      <w:r w:rsidRPr="00094226">
        <w:rPr>
          <w:color w:val="000000"/>
          <w:szCs w:val="21"/>
        </w:rPr>
        <w:t>CCC</w:t>
      </w:r>
      <w:r w:rsidRPr="00094226">
        <w:rPr>
          <w:color w:val="000000"/>
          <w:szCs w:val="21"/>
        </w:rPr>
        <w:t>、</w:t>
      </w:r>
      <w:r w:rsidRPr="00094226">
        <w:rPr>
          <w:color w:val="000000"/>
          <w:szCs w:val="21"/>
        </w:rPr>
        <w:t>CC</w:t>
      </w:r>
      <w:r w:rsidRPr="00094226">
        <w:rPr>
          <w:color w:val="000000"/>
          <w:szCs w:val="21"/>
        </w:rPr>
        <w:t>、</w:t>
      </w:r>
      <w:r w:rsidRPr="00094226">
        <w:rPr>
          <w:color w:val="000000"/>
          <w:szCs w:val="21"/>
        </w:rPr>
        <w:t>C</w:t>
      </w:r>
      <w:r w:rsidRPr="00094226">
        <w:rPr>
          <w:color w:val="000000"/>
          <w:szCs w:val="21"/>
        </w:rPr>
        <w:t>。其中，</w:t>
      </w:r>
      <w:r w:rsidRPr="00094226">
        <w:rPr>
          <w:color w:val="000000"/>
          <w:szCs w:val="21"/>
        </w:rPr>
        <w:t>AAA</w:t>
      </w:r>
      <w:r w:rsidRPr="00094226">
        <w:rPr>
          <w:color w:val="000000"/>
          <w:szCs w:val="21"/>
        </w:rPr>
        <w:t>级可用</w:t>
      </w:r>
      <w:r>
        <w:rPr>
          <w:rFonts w:hint="eastAsia"/>
          <w:color w:val="000000"/>
          <w:szCs w:val="21"/>
        </w:rPr>
        <w:t>“</w:t>
      </w:r>
      <w:r>
        <w:rPr>
          <w:color w:val="000000"/>
          <w:szCs w:val="21"/>
        </w:rPr>
        <w:t>—</w:t>
      </w:r>
      <w:r>
        <w:rPr>
          <w:rFonts w:hint="eastAsia"/>
          <w:color w:val="000000"/>
          <w:szCs w:val="21"/>
        </w:rPr>
        <w:t>”</w:t>
      </w:r>
      <w:r w:rsidRPr="00094226">
        <w:rPr>
          <w:color w:val="000000"/>
          <w:szCs w:val="21"/>
        </w:rPr>
        <w:t>符号进行微调，表示信用等级略低于本等级；</w:t>
      </w:r>
      <w:r w:rsidRPr="00094226">
        <w:rPr>
          <w:color w:val="000000"/>
          <w:szCs w:val="21"/>
        </w:rPr>
        <w:t>AA</w:t>
      </w:r>
      <w:r w:rsidRPr="00094226">
        <w:rPr>
          <w:color w:val="000000"/>
          <w:szCs w:val="21"/>
        </w:rPr>
        <w:t>级至</w:t>
      </w:r>
      <w:r w:rsidRPr="00094226">
        <w:rPr>
          <w:color w:val="000000"/>
          <w:szCs w:val="21"/>
        </w:rPr>
        <w:t>B</w:t>
      </w:r>
      <w:r w:rsidRPr="00094226">
        <w:rPr>
          <w:color w:val="000000"/>
          <w:szCs w:val="21"/>
        </w:rPr>
        <w:t>级可用</w:t>
      </w:r>
      <w:r>
        <w:rPr>
          <w:rFonts w:hint="eastAsia"/>
          <w:color w:val="000000"/>
          <w:szCs w:val="21"/>
        </w:rPr>
        <w:t>“</w:t>
      </w:r>
      <w:r w:rsidRPr="00094226">
        <w:rPr>
          <w:color w:val="000000"/>
          <w:szCs w:val="21"/>
        </w:rPr>
        <w:t>＋</w:t>
      </w:r>
      <w:r>
        <w:rPr>
          <w:rFonts w:hint="eastAsia"/>
          <w:color w:val="000000"/>
          <w:szCs w:val="21"/>
        </w:rPr>
        <w:t>”</w:t>
      </w:r>
      <w:r w:rsidRPr="00094226">
        <w:rPr>
          <w:color w:val="000000"/>
          <w:szCs w:val="21"/>
        </w:rPr>
        <w:t>或</w:t>
      </w:r>
      <w:r>
        <w:rPr>
          <w:rFonts w:hint="eastAsia"/>
          <w:color w:val="000000"/>
          <w:szCs w:val="21"/>
        </w:rPr>
        <w:t>“</w:t>
      </w:r>
      <w:r>
        <w:rPr>
          <w:color w:val="000000"/>
          <w:szCs w:val="21"/>
        </w:rPr>
        <w:t>—</w:t>
      </w:r>
      <w:r>
        <w:rPr>
          <w:rFonts w:hint="eastAsia"/>
          <w:color w:val="000000"/>
          <w:szCs w:val="21"/>
        </w:rPr>
        <w:t>”</w:t>
      </w:r>
      <w:r w:rsidRPr="00094226">
        <w:rPr>
          <w:color w:val="000000"/>
          <w:szCs w:val="21"/>
        </w:rPr>
        <w:t>符号进行微调，表示信用等级略高于或低于本等级。符号含义如下</w:t>
      </w:r>
      <w:r w:rsidRPr="00094226">
        <w:t>：</w:t>
      </w:r>
    </w:p>
    <w:tbl>
      <w:tblPr>
        <w:tblpPr w:leftFromText="180" w:rightFromText="180" w:vertAnchor="text" w:horzAnchor="margin" w:tblpXSpec="center" w:tblpY="158"/>
        <w:tblW w:w="5000" w:type="pct"/>
        <w:tblBorders>
          <w:top w:val="single" w:sz="4" w:space="0" w:color="auto"/>
          <w:bottom w:val="single" w:sz="4" w:space="0" w:color="auto"/>
        </w:tblBorders>
        <w:tblLook w:val="01E0" w:firstRow="1" w:lastRow="1" w:firstColumn="1" w:lastColumn="1" w:noHBand="0" w:noVBand="0"/>
      </w:tblPr>
      <w:tblGrid>
        <w:gridCol w:w="1233"/>
        <w:gridCol w:w="8339"/>
      </w:tblGrid>
      <w:tr w:rsidR="00B12D88" w:rsidRPr="00094226" w:rsidTr="004A756E">
        <w:tc>
          <w:tcPr>
            <w:tcW w:w="644" w:type="pct"/>
            <w:shd w:val="clear" w:color="auto" w:fill="0070C0"/>
          </w:tcPr>
          <w:p w:rsidR="00B12D88" w:rsidRPr="00094226" w:rsidRDefault="00B12D88" w:rsidP="004A756E">
            <w:pPr>
              <w:spacing w:line="300" w:lineRule="auto"/>
              <w:jc w:val="center"/>
              <w:rPr>
                <w:b/>
                <w:color w:val="FFFFFF"/>
                <w:sz w:val="18"/>
                <w:szCs w:val="18"/>
              </w:rPr>
            </w:pPr>
            <w:r w:rsidRPr="00094226">
              <w:rPr>
                <w:b/>
                <w:color w:val="FFFFFF"/>
                <w:sz w:val="18"/>
                <w:szCs w:val="18"/>
              </w:rPr>
              <w:t>等级符号</w:t>
            </w:r>
          </w:p>
        </w:tc>
        <w:tc>
          <w:tcPr>
            <w:tcW w:w="4356" w:type="pct"/>
            <w:shd w:val="clear" w:color="auto" w:fill="0070C0"/>
          </w:tcPr>
          <w:p w:rsidR="00B12D88" w:rsidRPr="00094226" w:rsidRDefault="00B12D88" w:rsidP="004A756E">
            <w:pPr>
              <w:spacing w:line="300" w:lineRule="auto"/>
              <w:jc w:val="center"/>
              <w:rPr>
                <w:b/>
                <w:color w:val="FFFFFF"/>
                <w:sz w:val="18"/>
                <w:szCs w:val="18"/>
              </w:rPr>
            </w:pPr>
            <w:r w:rsidRPr="00094226">
              <w:rPr>
                <w:b/>
                <w:color w:val="FFFFFF"/>
                <w:sz w:val="18"/>
                <w:szCs w:val="18"/>
              </w:rPr>
              <w:t>等级含义</w:t>
            </w:r>
          </w:p>
        </w:tc>
      </w:tr>
      <w:tr w:rsidR="00B12D88" w:rsidRPr="00094226" w:rsidTr="004A756E">
        <w:tc>
          <w:tcPr>
            <w:tcW w:w="644" w:type="pct"/>
            <w:shd w:val="clear" w:color="auto" w:fill="auto"/>
          </w:tcPr>
          <w:p w:rsidR="00B12D88" w:rsidRPr="00094226" w:rsidRDefault="00B12D88" w:rsidP="004A756E">
            <w:pPr>
              <w:spacing w:line="300" w:lineRule="auto"/>
              <w:jc w:val="center"/>
              <w:rPr>
                <w:sz w:val="18"/>
                <w:szCs w:val="18"/>
              </w:rPr>
            </w:pPr>
            <w:r w:rsidRPr="00094226">
              <w:rPr>
                <w:sz w:val="18"/>
                <w:szCs w:val="18"/>
              </w:rPr>
              <w:t>AAA</w:t>
            </w:r>
          </w:p>
        </w:tc>
        <w:tc>
          <w:tcPr>
            <w:tcW w:w="4356" w:type="pct"/>
            <w:shd w:val="clear" w:color="auto" w:fill="auto"/>
          </w:tcPr>
          <w:p w:rsidR="00B12D88" w:rsidRPr="00094226" w:rsidRDefault="00B12D88" w:rsidP="004A756E">
            <w:pPr>
              <w:spacing w:line="300" w:lineRule="auto"/>
              <w:rPr>
                <w:sz w:val="18"/>
                <w:szCs w:val="18"/>
              </w:rPr>
            </w:pPr>
            <w:r w:rsidRPr="00094226">
              <w:rPr>
                <w:sz w:val="18"/>
                <w:szCs w:val="18"/>
              </w:rPr>
              <w:t>偿还债务的能力极强，基本不受不利经济环境的影响，违约风险极低；</w:t>
            </w:r>
          </w:p>
        </w:tc>
      </w:tr>
      <w:tr w:rsidR="00B12D88" w:rsidRPr="00094226" w:rsidTr="004A756E">
        <w:tc>
          <w:tcPr>
            <w:tcW w:w="644" w:type="pct"/>
            <w:shd w:val="clear" w:color="auto" w:fill="D3EDFB"/>
          </w:tcPr>
          <w:p w:rsidR="00B12D88" w:rsidRPr="00094226" w:rsidRDefault="00B12D88" w:rsidP="004A756E">
            <w:pPr>
              <w:spacing w:line="300" w:lineRule="auto"/>
              <w:jc w:val="center"/>
              <w:rPr>
                <w:sz w:val="18"/>
                <w:szCs w:val="18"/>
              </w:rPr>
            </w:pPr>
            <w:r w:rsidRPr="00094226">
              <w:rPr>
                <w:sz w:val="18"/>
                <w:szCs w:val="18"/>
              </w:rPr>
              <w:t>AA</w:t>
            </w:r>
          </w:p>
        </w:tc>
        <w:tc>
          <w:tcPr>
            <w:tcW w:w="4356" w:type="pct"/>
            <w:shd w:val="clear" w:color="auto" w:fill="D3EDFB"/>
          </w:tcPr>
          <w:p w:rsidR="00B12D88" w:rsidRPr="00094226" w:rsidRDefault="00B12D88" w:rsidP="004A756E">
            <w:pPr>
              <w:spacing w:line="300" w:lineRule="auto"/>
              <w:rPr>
                <w:sz w:val="18"/>
                <w:szCs w:val="18"/>
              </w:rPr>
            </w:pPr>
            <w:r w:rsidRPr="00094226">
              <w:rPr>
                <w:sz w:val="18"/>
                <w:szCs w:val="18"/>
              </w:rPr>
              <w:t>偿还债务的能力很强，受不利经济环境的影响不大，违约风险很低；</w:t>
            </w:r>
          </w:p>
        </w:tc>
      </w:tr>
      <w:tr w:rsidR="00B12D88" w:rsidRPr="00094226" w:rsidTr="004A756E">
        <w:tc>
          <w:tcPr>
            <w:tcW w:w="644" w:type="pct"/>
            <w:shd w:val="clear" w:color="auto" w:fill="auto"/>
          </w:tcPr>
          <w:p w:rsidR="00B12D88" w:rsidRPr="00094226" w:rsidRDefault="00B12D88" w:rsidP="004A756E">
            <w:pPr>
              <w:spacing w:line="300" w:lineRule="auto"/>
              <w:jc w:val="center"/>
              <w:rPr>
                <w:sz w:val="18"/>
                <w:szCs w:val="18"/>
              </w:rPr>
            </w:pPr>
            <w:r w:rsidRPr="00094226">
              <w:rPr>
                <w:sz w:val="18"/>
                <w:szCs w:val="18"/>
              </w:rPr>
              <w:t>A</w:t>
            </w:r>
          </w:p>
        </w:tc>
        <w:tc>
          <w:tcPr>
            <w:tcW w:w="4356" w:type="pct"/>
            <w:shd w:val="clear" w:color="auto" w:fill="auto"/>
          </w:tcPr>
          <w:p w:rsidR="00B12D88" w:rsidRPr="00094226" w:rsidRDefault="00B12D88" w:rsidP="004A756E">
            <w:pPr>
              <w:spacing w:line="300" w:lineRule="auto"/>
              <w:rPr>
                <w:sz w:val="18"/>
                <w:szCs w:val="18"/>
              </w:rPr>
            </w:pPr>
            <w:r w:rsidRPr="00094226">
              <w:rPr>
                <w:sz w:val="18"/>
                <w:szCs w:val="18"/>
              </w:rPr>
              <w:t>偿还债务能力较强，较易受不利经济环境的影响，违约风险较低；</w:t>
            </w:r>
          </w:p>
        </w:tc>
      </w:tr>
      <w:tr w:rsidR="00B12D88" w:rsidRPr="00094226" w:rsidTr="004A756E">
        <w:tc>
          <w:tcPr>
            <w:tcW w:w="644" w:type="pct"/>
            <w:shd w:val="clear" w:color="auto" w:fill="D3EDFB"/>
          </w:tcPr>
          <w:p w:rsidR="00B12D88" w:rsidRPr="00094226" w:rsidRDefault="00B12D88" w:rsidP="004A756E">
            <w:pPr>
              <w:spacing w:line="300" w:lineRule="auto"/>
              <w:jc w:val="center"/>
              <w:rPr>
                <w:sz w:val="18"/>
                <w:szCs w:val="18"/>
              </w:rPr>
            </w:pPr>
            <w:r w:rsidRPr="00094226">
              <w:rPr>
                <w:sz w:val="18"/>
                <w:szCs w:val="18"/>
              </w:rPr>
              <w:t>BBB</w:t>
            </w:r>
          </w:p>
        </w:tc>
        <w:tc>
          <w:tcPr>
            <w:tcW w:w="4356" w:type="pct"/>
            <w:shd w:val="clear" w:color="auto" w:fill="D3EDFB"/>
          </w:tcPr>
          <w:p w:rsidR="00B12D88" w:rsidRPr="00094226" w:rsidRDefault="00B12D88" w:rsidP="004A756E">
            <w:pPr>
              <w:spacing w:line="300" w:lineRule="auto"/>
              <w:rPr>
                <w:sz w:val="18"/>
                <w:szCs w:val="18"/>
              </w:rPr>
            </w:pPr>
            <w:r w:rsidRPr="00094226">
              <w:rPr>
                <w:sz w:val="18"/>
                <w:szCs w:val="18"/>
              </w:rPr>
              <w:t>偿还债务能力一般，受不利经济环境影响较大，违约风险一般；</w:t>
            </w:r>
          </w:p>
        </w:tc>
      </w:tr>
      <w:tr w:rsidR="00B12D88" w:rsidRPr="00094226" w:rsidTr="004A756E">
        <w:tc>
          <w:tcPr>
            <w:tcW w:w="644" w:type="pct"/>
            <w:shd w:val="clear" w:color="auto" w:fill="auto"/>
          </w:tcPr>
          <w:p w:rsidR="00B12D88" w:rsidRPr="00094226" w:rsidRDefault="00B12D88" w:rsidP="004A756E">
            <w:pPr>
              <w:spacing w:line="300" w:lineRule="auto"/>
              <w:jc w:val="center"/>
              <w:rPr>
                <w:sz w:val="18"/>
                <w:szCs w:val="18"/>
              </w:rPr>
            </w:pPr>
            <w:r w:rsidRPr="00094226">
              <w:rPr>
                <w:sz w:val="18"/>
                <w:szCs w:val="18"/>
              </w:rPr>
              <w:t>BB</w:t>
            </w:r>
          </w:p>
        </w:tc>
        <w:tc>
          <w:tcPr>
            <w:tcW w:w="4356" w:type="pct"/>
            <w:shd w:val="clear" w:color="auto" w:fill="auto"/>
          </w:tcPr>
          <w:p w:rsidR="00B12D88" w:rsidRPr="00094226" w:rsidRDefault="00B12D88" w:rsidP="004A756E">
            <w:pPr>
              <w:spacing w:line="300" w:lineRule="auto"/>
              <w:rPr>
                <w:sz w:val="18"/>
                <w:szCs w:val="18"/>
              </w:rPr>
            </w:pPr>
            <w:r w:rsidRPr="00094226">
              <w:rPr>
                <w:sz w:val="18"/>
                <w:szCs w:val="18"/>
              </w:rPr>
              <w:t>偿还债务能力较弱，受不利经济环境影响很大，违约风险较高；</w:t>
            </w:r>
          </w:p>
        </w:tc>
      </w:tr>
      <w:tr w:rsidR="00B12D88" w:rsidRPr="00094226" w:rsidTr="004A756E">
        <w:tc>
          <w:tcPr>
            <w:tcW w:w="644" w:type="pct"/>
            <w:shd w:val="clear" w:color="auto" w:fill="D3EDFB"/>
          </w:tcPr>
          <w:p w:rsidR="00B12D88" w:rsidRPr="00094226" w:rsidRDefault="00B12D88" w:rsidP="004A756E">
            <w:pPr>
              <w:spacing w:line="300" w:lineRule="auto"/>
              <w:jc w:val="center"/>
              <w:rPr>
                <w:sz w:val="18"/>
                <w:szCs w:val="18"/>
              </w:rPr>
            </w:pPr>
            <w:r w:rsidRPr="00094226">
              <w:rPr>
                <w:sz w:val="18"/>
                <w:szCs w:val="18"/>
              </w:rPr>
              <w:t>B</w:t>
            </w:r>
          </w:p>
        </w:tc>
        <w:tc>
          <w:tcPr>
            <w:tcW w:w="4356" w:type="pct"/>
            <w:shd w:val="clear" w:color="auto" w:fill="D3EDFB"/>
          </w:tcPr>
          <w:p w:rsidR="00B12D88" w:rsidRPr="00094226" w:rsidRDefault="00B12D88" w:rsidP="004A756E">
            <w:pPr>
              <w:spacing w:line="300" w:lineRule="auto"/>
              <w:rPr>
                <w:sz w:val="18"/>
                <w:szCs w:val="18"/>
              </w:rPr>
            </w:pPr>
            <w:r w:rsidRPr="00094226">
              <w:rPr>
                <w:sz w:val="18"/>
                <w:szCs w:val="18"/>
              </w:rPr>
              <w:t>偿还债务的能力较大地依赖于良好的经济环境，违约风险很高；</w:t>
            </w:r>
          </w:p>
        </w:tc>
      </w:tr>
      <w:tr w:rsidR="00B12D88" w:rsidRPr="00094226" w:rsidTr="004A756E">
        <w:tc>
          <w:tcPr>
            <w:tcW w:w="644" w:type="pct"/>
            <w:shd w:val="clear" w:color="auto" w:fill="auto"/>
          </w:tcPr>
          <w:p w:rsidR="00B12D88" w:rsidRPr="00094226" w:rsidRDefault="00B12D88" w:rsidP="004A756E">
            <w:pPr>
              <w:spacing w:line="300" w:lineRule="auto"/>
              <w:jc w:val="center"/>
              <w:rPr>
                <w:sz w:val="18"/>
                <w:szCs w:val="18"/>
              </w:rPr>
            </w:pPr>
            <w:r w:rsidRPr="00094226">
              <w:rPr>
                <w:sz w:val="18"/>
                <w:szCs w:val="18"/>
              </w:rPr>
              <w:t>CCC</w:t>
            </w:r>
          </w:p>
        </w:tc>
        <w:tc>
          <w:tcPr>
            <w:tcW w:w="4356" w:type="pct"/>
            <w:shd w:val="clear" w:color="auto" w:fill="auto"/>
          </w:tcPr>
          <w:p w:rsidR="00B12D88" w:rsidRPr="00094226" w:rsidRDefault="00B12D88" w:rsidP="004A756E">
            <w:pPr>
              <w:spacing w:line="300" w:lineRule="auto"/>
              <w:rPr>
                <w:sz w:val="18"/>
                <w:szCs w:val="18"/>
              </w:rPr>
            </w:pPr>
            <w:r w:rsidRPr="00094226">
              <w:rPr>
                <w:sz w:val="18"/>
                <w:szCs w:val="18"/>
              </w:rPr>
              <w:t>偿还债务的能力极度依赖于良好的经济环境，违约风险极高；</w:t>
            </w:r>
          </w:p>
        </w:tc>
      </w:tr>
      <w:tr w:rsidR="00B12D88" w:rsidRPr="00094226" w:rsidTr="004A756E">
        <w:tc>
          <w:tcPr>
            <w:tcW w:w="644" w:type="pct"/>
            <w:shd w:val="clear" w:color="auto" w:fill="D3EDFB"/>
          </w:tcPr>
          <w:p w:rsidR="00B12D88" w:rsidRPr="00094226" w:rsidRDefault="00B12D88" w:rsidP="004A756E">
            <w:pPr>
              <w:spacing w:line="300" w:lineRule="auto"/>
              <w:jc w:val="center"/>
              <w:rPr>
                <w:sz w:val="18"/>
                <w:szCs w:val="18"/>
              </w:rPr>
            </w:pPr>
            <w:r w:rsidRPr="00094226">
              <w:rPr>
                <w:sz w:val="18"/>
                <w:szCs w:val="18"/>
              </w:rPr>
              <w:t>CC</w:t>
            </w:r>
          </w:p>
        </w:tc>
        <w:tc>
          <w:tcPr>
            <w:tcW w:w="4356" w:type="pct"/>
            <w:shd w:val="clear" w:color="auto" w:fill="D3EDFB"/>
          </w:tcPr>
          <w:p w:rsidR="00B12D88" w:rsidRPr="00094226" w:rsidRDefault="00B12D88" w:rsidP="004A756E">
            <w:pPr>
              <w:spacing w:line="300" w:lineRule="auto"/>
              <w:rPr>
                <w:sz w:val="18"/>
                <w:szCs w:val="18"/>
              </w:rPr>
            </w:pPr>
            <w:r w:rsidRPr="00094226">
              <w:rPr>
                <w:sz w:val="18"/>
                <w:szCs w:val="18"/>
              </w:rPr>
              <w:t>基本不能偿还债务；</w:t>
            </w:r>
          </w:p>
        </w:tc>
      </w:tr>
      <w:tr w:rsidR="00B12D88" w:rsidRPr="00094226" w:rsidTr="004A756E">
        <w:tc>
          <w:tcPr>
            <w:tcW w:w="644" w:type="pct"/>
            <w:shd w:val="clear" w:color="auto" w:fill="auto"/>
          </w:tcPr>
          <w:p w:rsidR="00B12D88" w:rsidRPr="00094226" w:rsidRDefault="00B12D88" w:rsidP="004A756E">
            <w:pPr>
              <w:spacing w:line="300" w:lineRule="auto"/>
              <w:jc w:val="center"/>
              <w:rPr>
                <w:sz w:val="18"/>
                <w:szCs w:val="18"/>
              </w:rPr>
            </w:pPr>
            <w:r w:rsidRPr="00094226">
              <w:rPr>
                <w:sz w:val="18"/>
                <w:szCs w:val="18"/>
              </w:rPr>
              <w:t>C</w:t>
            </w:r>
          </w:p>
        </w:tc>
        <w:tc>
          <w:tcPr>
            <w:tcW w:w="4356" w:type="pct"/>
            <w:shd w:val="clear" w:color="auto" w:fill="auto"/>
          </w:tcPr>
          <w:p w:rsidR="00B12D88" w:rsidRPr="00094226" w:rsidRDefault="00B12D88" w:rsidP="004A756E">
            <w:pPr>
              <w:spacing w:line="300" w:lineRule="auto"/>
              <w:rPr>
                <w:sz w:val="18"/>
                <w:szCs w:val="18"/>
              </w:rPr>
            </w:pPr>
            <w:r w:rsidRPr="00094226">
              <w:rPr>
                <w:sz w:val="18"/>
                <w:szCs w:val="18"/>
              </w:rPr>
              <w:t>不能偿还债务。</w:t>
            </w:r>
          </w:p>
        </w:tc>
      </w:tr>
    </w:tbl>
    <w:p w:rsidR="00B12D88" w:rsidRPr="00094226" w:rsidRDefault="00B12D88" w:rsidP="00B12D88">
      <w:pPr>
        <w:tabs>
          <w:tab w:val="left" w:pos="720"/>
        </w:tabs>
        <w:adjustRightInd w:val="0"/>
        <w:snapToGrid w:val="0"/>
        <w:spacing w:line="300" w:lineRule="auto"/>
        <w:jc w:val="left"/>
        <w:outlineLvl w:val="0"/>
        <w:rPr>
          <w:rFonts w:eastAsia="黑体"/>
          <w:b/>
          <w:sz w:val="24"/>
        </w:rPr>
      </w:pPr>
      <w:r w:rsidRPr="00094226">
        <w:br w:type="page"/>
      </w:r>
      <w:r w:rsidRPr="00094226">
        <w:rPr>
          <w:rFonts w:eastAsia="黑体"/>
          <w:b/>
          <w:sz w:val="24"/>
        </w:rPr>
        <w:lastRenderedPageBreak/>
        <w:t>附件二：</w:t>
      </w:r>
      <w:r w:rsidRPr="00094226">
        <w:rPr>
          <w:rFonts w:eastAsia="黑体"/>
          <w:b/>
          <w:sz w:val="24"/>
        </w:rPr>
        <w:t xml:space="preserve"> </w:t>
      </w:r>
    </w:p>
    <w:p w:rsidR="00B12D88" w:rsidRPr="000A0937" w:rsidRDefault="00B12D88" w:rsidP="006B31F2">
      <w:pPr>
        <w:adjustRightInd w:val="0"/>
        <w:snapToGrid w:val="0"/>
        <w:spacing w:line="300" w:lineRule="auto"/>
        <w:jc w:val="center"/>
        <w:outlineLvl w:val="0"/>
        <w:rPr>
          <w:rFonts w:eastAsia="黑体"/>
          <w:kern w:val="0"/>
          <w:sz w:val="15"/>
          <w:szCs w:val="15"/>
        </w:rPr>
      </w:pPr>
      <w:r w:rsidRPr="00D96F76">
        <w:rPr>
          <w:rFonts w:eastAsia="黑体" w:hint="eastAsia"/>
          <w:b/>
          <w:sz w:val="24"/>
        </w:rPr>
        <w:t>江苏省经济、财政和债务数据</w:t>
      </w:r>
    </w:p>
    <w:tbl>
      <w:tblPr>
        <w:tblW w:w="4943" w:type="pct"/>
        <w:tblBorders>
          <w:top w:val="single" w:sz="8" w:space="0" w:color="auto"/>
          <w:bottom w:val="single" w:sz="4" w:space="0" w:color="auto"/>
        </w:tblBorders>
        <w:tblLayout w:type="fixed"/>
        <w:tblLook w:val="0000" w:firstRow="0" w:lastRow="0" w:firstColumn="0" w:lastColumn="0" w:noHBand="0" w:noVBand="0"/>
      </w:tblPr>
      <w:tblGrid>
        <w:gridCol w:w="4438"/>
        <w:gridCol w:w="1626"/>
        <w:gridCol w:w="1841"/>
        <w:gridCol w:w="1558"/>
      </w:tblGrid>
      <w:tr w:rsidR="006B31F2" w:rsidRPr="00094226" w:rsidTr="003D1341">
        <w:trPr>
          <w:trHeight w:hRule="exact" w:val="284"/>
        </w:trPr>
        <w:tc>
          <w:tcPr>
            <w:tcW w:w="2345" w:type="pct"/>
            <w:shd w:val="clear" w:color="auto" w:fill="0070C0"/>
            <w:vAlign w:val="center"/>
          </w:tcPr>
          <w:p w:rsidR="006B31F2" w:rsidRPr="00094226" w:rsidRDefault="006B31F2" w:rsidP="00481533">
            <w:pPr>
              <w:widowControl/>
              <w:spacing w:line="240" w:lineRule="exact"/>
              <w:jc w:val="center"/>
              <w:rPr>
                <w:b/>
                <w:bCs/>
                <w:color w:val="FFFFFF"/>
                <w:kern w:val="0"/>
                <w:sz w:val="18"/>
                <w:szCs w:val="18"/>
              </w:rPr>
            </w:pPr>
            <w:r w:rsidRPr="00094226">
              <w:rPr>
                <w:b/>
                <w:bCs/>
                <w:color w:val="FFFFFF"/>
                <w:kern w:val="0"/>
                <w:sz w:val="18"/>
                <w:szCs w:val="18"/>
              </w:rPr>
              <w:t>相关数据</w:t>
            </w:r>
          </w:p>
        </w:tc>
        <w:tc>
          <w:tcPr>
            <w:tcW w:w="859" w:type="pct"/>
            <w:shd w:val="clear" w:color="auto" w:fill="0070C0"/>
            <w:vAlign w:val="center"/>
          </w:tcPr>
          <w:p w:rsidR="006B31F2" w:rsidRPr="00094226" w:rsidRDefault="006B31F2" w:rsidP="00481533">
            <w:pPr>
              <w:widowControl/>
              <w:spacing w:line="240" w:lineRule="exact"/>
              <w:jc w:val="center"/>
              <w:rPr>
                <w:b/>
                <w:bCs/>
                <w:color w:val="FFFFFF"/>
                <w:kern w:val="0"/>
                <w:sz w:val="18"/>
                <w:szCs w:val="18"/>
              </w:rPr>
            </w:pPr>
            <w:r w:rsidRPr="00094226">
              <w:rPr>
                <w:b/>
                <w:bCs/>
                <w:color w:val="FFFFFF"/>
                <w:kern w:val="0"/>
                <w:sz w:val="18"/>
                <w:szCs w:val="18"/>
              </w:rPr>
              <w:t>2013</w:t>
            </w:r>
            <w:r w:rsidRPr="00094226">
              <w:rPr>
                <w:b/>
                <w:bCs/>
                <w:color w:val="FFFFFF"/>
                <w:kern w:val="0"/>
                <w:sz w:val="18"/>
                <w:szCs w:val="18"/>
              </w:rPr>
              <w:t>年</w:t>
            </w:r>
          </w:p>
        </w:tc>
        <w:tc>
          <w:tcPr>
            <w:tcW w:w="973" w:type="pct"/>
            <w:shd w:val="clear" w:color="auto" w:fill="0070C0"/>
            <w:vAlign w:val="center"/>
          </w:tcPr>
          <w:p w:rsidR="006B31F2" w:rsidRPr="00094226" w:rsidRDefault="006B31F2" w:rsidP="00481533">
            <w:pPr>
              <w:widowControl/>
              <w:spacing w:line="240" w:lineRule="exact"/>
              <w:jc w:val="center"/>
              <w:rPr>
                <w:b/>
                <w:bCs/>
                <w:color w:val="FFFFFF"/>
                <w:kern w:val="0"/>
                <w:sz w:val="18"/>
                <w:szCs w:val="18"/>
              </w:rPr>
            </w:pPr>
            <w:r w:rsidRPr="00094226">
              <w:rPr>
                <w:b/>
                <w:bCs/>
                <w:color w:val="FFFFFF"/>
                <w:kern w:val="0"/>
                <w:sz w:val="18"/>
                <w:szCs w:val="18"/>
              </w:rPr>
              <w:t>2014</w:t>
            </w:r>
            <w:r w:rsidRPr="00094226">
              <w:rPr>
                <w:b/>
                <w:bCs/>
                <w:color w:val="FFFFFF"/>
                <w:kern w:val="0"/>
                <w:sz w:val="18"/>
                <w:szCs w:val="18"/>
              </w:rPr>
              <w:t>年</w:t>
            </w:r>
          </w:p>
        </w:tc>
        <w:tc>
          <w:tcPr>
            <w:tcW w:w="823" w:type="pct"/>
            <w:shd w:val="clear" w:color="auto" w:fill="0070C0"/>
          </w:tcPr>
          <w:p w:rsidR="006B31F2" w:rsidRPr="00094226" w:rsidRDefault="006B31F2" w:rsidP="00481533">
            <w:pPr>
              <w:widowControl/>
              <w:spacing w:line="240" w:lineRule="exact"/>
              <w:jc w:val="center"/>
              <w:rPr>
                <w:b/>
                <w:bCs/>
                <w:color w:val="FFFFFF"/>
                <w:kern w:val="0"/>
                <w:sz w:val="18"/>
                <w:szCs w:val="18"/>
              </w:rPr>
            </w:pPr>
            <w:r>
              <w:rPr>
                <w:rFonts w:hint="eastAsia"/>
                <w:b/>
                <w:bCs/>
                <w:color w:val="FFFFFF"/>
                <w:kern w:val="0"/>
                <w:sz w:val="18"/>
                <w:szCs w:val="18"/>
              </w:rPr>
              <w:t>2015</w:t>
            </w:r>
            <w:r>
              <w:rPr>
                <w:rFonts w:hint="eastAsia"/>
                <w:b/>
                <w:bCs/>
                <w:color w:val="FFFFFF"/>
                <w:kern w:val="0"/>
                <w:sz w:val="18"/>
                <w:szCs w:val="18"/>
              </w:rPr>
              <w:t>年</w:t>
            </w:r>
          </w:p>
        </w:tc>
      </w:tr>
      <w:tr w:rsidR="00486F91" w:rsidRPr="00094226" w:rsidTr="003D1341">
        <w:trPr>
          <w:trHeight w:hRule="exact" w:val="284"/>
        </w:trPr>
        <w:tc>
          <w:tcPr>
            <w:tcW w:w="2345" w:type="pct"/>
            <w:shd w:val="clear" w:color="auto" w:fill="auto"/>
            <w:vAlign w:val="center"/>
          </w:tcPr>
          <w:p w:rsidR="00486F91" w:rsidRPr="00094226" w:rsidRDefault="00486F91" w:rsidP="00A56527">
            <w:pPr>
              <w:tabs>
                <w:tab w:val="left" w:pos="720"/>
              </w:tabs>
              <w:adjustRightInd w:val="0"/>
              <w:snapToGrid w:val="0"/>
              <w:outlineLvl w:val="0"/>
              <w:rPr>
                <w:sz w:val="18"/>
                <w:szCs w:val="18"/>
              </w:rPr>
            </w:pPr>
            <w:r w:rsidRPr="00094226">
              <w:rPr>
                <w:sz w:val="18"/>
                <w:szCs w:val="18"/>
              </w:rPr>
              <w:t>地区生产总值（亿元）</w:t>
            </w:r>
          </w:p>
        </w:tc>
        <w:tc>
          <w:tcPr>
            <w:tcW w:w="859" w:type="pct"/>
            <w:shd w:val="clear" w:color="auto" w:fill="auto"/>
            <w:vAlign w:val="center"/>
          </w:tcPr>
          <w:p w:rsidR="00486F91" w:rsidRPr="00094226" w:rsidRDefault="00486F91" w:rsidP="00A56527">
            <w:pPr>
              <w:jc w:val="center"/>
              <w:rPr>
                <w:sz w:val="18"/>
                <w:szCs w:val="18"/>
              </w:rPr>
            </w:pPr>
            <w:r w:rsidRPr="00094226">
              <w:rPr>
                <w:sz w:val="18"/>
                <w:szCs w:val="18"/>
              </w:rPr>
              <w:t>59,161.80</w:t>
            </w:r>
          </w:p>
        </w:tc>
        <w:tc>
          <w:tcPr>
            <w:tcW w:w="973" w:type="pct"/>
            <w:shd w:val="clear" w:color="auto" w:fill="auto"/>
            <w:vAlign w:val="center"/>
          </w:tcPr>
          <w:p w:rsidR="00486F91" w:rsidRPr="00094226" w:rsidRDefault="00486F91" w:rsidP="00A56527">
            <w:pPr>
              <w:widowControl/>
              <w:jc w:val="center"/>
              <w:rPr>
                <w:color w:val="000000"/>
                <w:kern w:val="0"/>
                <w:sz w:val="18"/>
                <w:szCs w:val="18"/>
              </w:rPr>
            </w:pPr>
            <w:r w:rsidRPr="00094226">
              <w:rPr>
                <w:color w:val="000000"/>
                <w:kern w:val="0"/>
                <w:sz w:val="18"/>
                <w:szCs w:val="18"/>
              </w:rPr>
              <w:t>65,088.</w:t>
            </w:r>
            <w:r>
              <w:rPr>
                <w:rFonts w:hint="eastAsia"/>
                <w:color w:val="000000"/>
                <w:kern w:val="0"/>
                <w:sz w:val="18"/>
                <w:szCs w:val="18"/>
              </w:rPr>
              <w:t>32</w:t>
            </w:r>
          </w:p>
        </w:tc>
        <w:tc>
          <w:tcPr>
            <w:tcW w:w="823" w:type="pct"/>
            <w:shd w:val="clear" w:color="auto" w:fill="auto"/>
            <w:vAlign w:val="center"/>
          </w:tcPr>
          <w:p w:rsidR="00486F91" w:rsidRPr="00B367B9" w:rsidRDefault="00486F91" w:rsidP="00A56527">
            <w:pPr>
              <w:widowControl/>
              <w:jc w:val="center"/>
              <w:rPr>
                <w:color w:val="000000"/>
                <w:kern w:val="0"/>
                <w:sz w:val="18"/>
                <w:szCs w:val="18"/>
              </w:rPr>
            </w:pPr>
            <w:r w:rsidRPr="00B367B9">
              <w:rPr>
                <w:rFonts w:hint="eastAsia"/>
                <w:color w:val="000000"/>
                <w:kern w:val="0"/>
                <w:sz w:val="18"/>
                <w:szCs w:val="18"/>
              </w:rPr>
              <w:t>70,116</w:t>
            </w:r>
            <w:r w:rsidR="006B0350">
              <w:rPr>
                <w:rFonts w:hint="eastAsia"/>
                <w:color w:val="000000"/>
                <w:kern w:val="0"/>
                <w:sz w:val="18"/>
                <w:szCs w:val="18"/>
              </w:rPr>
              <w:t>.38</w:t>
            </w:r>
          </w:p>
          <w:p w:rsidR="00486F91" w:rsidRPr="00094226" w:rsidRDefault="00486F91" w:rsidP="00A56527">
            <w:pPr>
              <w:widowControl/>
              <w:jc w:val="center"/>
              <w:rPr>
                <w:color w:val="000000"/>
                <w:kern w:val="0"/>
                <w:sz w:val="18"/>
                <w:szCs w:val="18"/>
              </w:rPr>
            </w:pPr>
          </w:p>
        </w:tc>
      </w:tr>
      <w:tr w:rsidR="00486F91" w:rsidRPr="00094226" w:rsidTr="003D1341">
        <w:trPr>
          <w:trHeight w:hRule="exact" w:val="284"/>
        </w:trPr>
        <w:tc>
          <w:tcPr>
            <w:tcW w:w="2345" w:type="pct"/>
            <w:shd w:val="clear" w:color="auto" w:fill="D3EDFB"/>
            <w:vAlign w:val="center"/>
          </w:tcPr>
          <w:p w:rsidR="00486F91" w:rsidRPr="00094226" w:rsidRDefault="00486F91" w:rsidP="00481533">
            <w:pPr>
              <w:tabs>
                <w:tab w:val="left" w:pos="720"/>
              </w:tabs>
              <w:adjustRightInd w:val="0"/>
              <w:snapToGrid w:val="0"/>
              <w:outlineLvl w:val="0"/>
              <w:rPr>
                <w:sz w:val="18"/>
                <w:szCs w:val="18"/>
              </w:rPr>
            </w:pPr>
            <w:r w:rsidRPr="00094226">
              <w:rPr>
                <w:sz w:val="18"/>
                <w:szCs w:val="18"/>
              </w:rPr>
              <w:t>人均地区生产总值（元）</w:t>
            </w:r>
          </w:p>
        </w:tc>
        <w:tc>
          <w:tcPr>
            <w:tcW w:w="859" w:type="pct"/>
            <w:shd w:val="clear" w:color="auto" w:fill="D3EDFB"/>
            <w:vAlign w:val="center"/>
          </w:tcPr>
          <w:p w:rsidR="00486F91" w:rsidRPr="00094226" w:rsidRDefault="00486F91" w:rsidP="00A56527">
            <w:pPr>
              <w:jc w:val="center"/>
              <w:rPr>
                <w:sz w:val="18"/>
                <w:szCs w:val="18"/>
              </w:rPr>
            </w:pPr>
            <w:r w:rsidRPr="00094226">
              <w:rPr>
                <w:sz w:val="18"/>
                <w:szCs w:val="18"/>
              </w:rPr>
              <w:t>74,607.00</w:t>
            </w:r>
          </w:p>
        </w:tc>
        <w:tc>
          <w:tcPr>
            <w:tcW w:w="973" w:type="pct"/>
            <w:shd w:val="clear" w:color="auto" w:fill="D3EDFB"/>
            <w:vAlign w:val="center"/>
          </w:tcPr>
          <w:p w:rsidR="00486F91" w:rsidRPr="00094226" w:rsidRDefault="00486F91" w:rsidP="00A56527">
            <w:pPr>
              <w:widowControl/>
              <w:jc w:val="center"/>
              <w:rPr>
                <w:color w:val="000000"/>
                <w:kern w:val="0"/>
                <w:sz w:val="18"/>
                <w:szCs w:val="18"/>
              </w:rPr>
            </w:pPr>
            <w:r w:rsidRPr="00094226">
              <w:rPr>
                <w:color w:val="000000"/>
                <w:kern w:val="0"/>
                <w:sz w:val="18"/>
                <w:szCs w:val="18"/>
              </w:rPr>
              <w:t>81,874.00</w:t>
            </w:r>
          </w:p>
        </w:tc>
        <w:tc>
          <w:tcPr>
            <w:tcW w:w="823" w:type="pct"/>
            <w:shd w:val="clear" w:color="auto" w:fill="D3EDFB"/>
            <w:vAlign w:val="center"/>
          </w:tcPr>
          <w:p w:rsidR="00486F91" w:rsidRPr="00094226" w:rsidRDefault="00486F91" w:rsidP="00A56527">
            <w:pPr>
              <w:widowControl/>
              <w:jc w:val="center"/>
              <w:rPr>
                <w:color w:val="000000"/>
                <w:kern w:val="0"/>
                <w:sz w:val="18"/>
                <w:szCs w:val="18"/>
              </w:rPr>
            </w:pPr>
            <w:r w:rsidRPr="00B367B9">
              <w:rPr>
                <w:color w:val="000000"/>
                <w:kern w:val="0"/>
                <w:sz w:val="18"/>
                <w:szCs w:val="18"/>
              </w:rPr>
              <w:t>87</w:t>
            </w:r>
            <w:r w:rsidRPr="00B367B9">
              <w:rPr>
                <w:rFonts w:hint="eastAsia"/>
                <w:color w:val="000000"/>
                <w:kern w:val="0"/>
                <w:sz w:val="18"/>
                <w:szCs w:val="18"/>
              </w:rPr>
              <w:t>,</w:t>
            </w:r>
            <w:r w:rsidRPr="00B367B9">
              <w:rPr>
                <w:color w:val="000000"/>
                <w:kern w:val="0"/>
                <w:sz w:val="18"/>
                <w:szCs w:val="18"/>
              </w:rPr>
              <w:t>995</w:t>
            </w:r>
            <w:r w:rsidR="006B0350">
              <w:rPr>
                <w:rFonts w:hint="eastAsia"/>
                <w:color w:val="000000"/>
                <w:kern w:val="0"/>
                <w:sz w:val="18"/>
                <w:szCs w:val="18"/>
              </w:rPr>
              <w:t>.00</w:t>
            </w:r>
          </w:p>
        </w:tc>
      </w:tr>
      <w:tr w:rsidR="00486F91" w:rsidRPr="00094226" w:rsidTr="003D1341">
        <w:trPr>
          <w:trHeight w:hRule="exact" w:val="284"/>
        </w:trPr>
        <w:tc>
          <w:tcPr>
            <w:tcW w:w="2345" w:type="pct"/>
            <w:shd w:val="clear" w:color="auto" w:fill="auto"/>
            <w:vAlign w:val="center"/>
          </w:tcPr>
          <w:p w:rsidR="00486F91" w:rsidRPr="00094226" w:rsidRDefault="00486F91" w:rsidP="00481533">
            <w:pPr>
              <w:tabs>
                <w:tab w:val="left" w:pos="720"/>
              </w:tabs>
              <w:adjustRightInd w:val="0"/>
              <w:snapToGrid w:val="0"/>
              <w:outlineLvl w:val="0"/>
              <w:rPr>
                <w:sz w:val="18"/>
                <w:szCs w:val="18"/>
              </w:rPr>
            </w:pPr>
            <w:r w:rsidRPr="00094226">
              <w:rPr>
                <w:sz w:val="18"/>
                <w:szCs w:val="18"/>
              </w:rPr>
              <w:t>地区生产总值增长率（</w:t>
            </w:r>
            <w:r w:rsidRPr="00094226">
              <w:rPr>
                <w:sz w:val="18"/>
                <w:szCs w:val="18"/>
              </w:rPr>
              <w:t>%</w:t>
            </w:r>
            <w:r w:rsidRPr="00094226">
              <w:rPr>
                <w:sz w:val="18"/>
                <w:szCs w:val="18"/>
              </w:rPr>
              <w:t>）</w:t>
            </w:r>
          </w:p>
        </w:tc>
        <w:tc>
          <w:tcPr>
            <w:tcW w:w="859" w:type="pct"/>
            <w:shd w:val="clear" w:color="auto" w:fill="auto"/>
            <w:vAlign w:val="center"/>
          </w:tcPr>
          <w:p w:rsidR="00486F91" w:rsidRPr="00094226" w:rsidRDefault="00486F91" w:rsidP="00A56527">
            <w:pPr>
              <w:jc w:val="center"/>
              <w:rPr>
                <w:sz w:val="18"/>
                <w:szCs w:val="18"/>
              </w:rPr>
            </w:pPr>
            <w:r w:rsidRPr="00094226">
              <w:rPr>
                <w:sz w:val="18"/>
                <w:szCs w:val="18"/>
              </w:rPr>
              <w:t>9.60</w:t>
            </w:r>
          </w:p>
        </w:tc>
        <w:tc>
          <w:tcPr>
            <w:tcW w:w="973" w:type="pct"/>
            <w:vAlign w:val="center"/>
          </w:tcPr>
          <w:p w:rsidR="00486F91" w:rsidRPr="00094226" w:rsidRDefault="00486F91" w:rsidP="00A56527">
            <w:pPr>
              <w:widowControl/>
              <w:jc w:val="center"/>
              <w:rPr>
                <w:color w:val="000000"/>
                <w:kern w:val="0"/>
                <w:sz w:val="18"/>
                <w:szCs w:val="18"/>
              </w:rPr>
            </w:pPr>
            <w:r w:rsidRPr="00094226">
              <w:rPr>
                <w:color w:val="000000"/>
                <w:kern w:val="0"/>
                <w:sz w:val="18"/>
                <w:szCs w:val="18"/>
              </w:rPr>
              <w:t>8.7</w:t>
            </w:r>
            <w:r>
              <w:rPr>
                <w:rFonts w:hint="eastAsia"/>
                <w:color w:val="000000"/>
                <w:kern w:val="0"/>
                <w:sz w:val="18"/>
                <w:szCs w:val="18"/>
              </w:rPr>
              <w:t>0</w:t>
            </w:r>
          </w:p>
        </w:tc>
        <w:tc>
          <w:tcPr>
            <w:tcW w:w="823" w:type="pct"/>
            <w:vAlign w:val="center"/>
          </w:tcPr>
          <w:p w:rsidR="00486F91" w:rsidRPr="00094226" w:rsidRDefault="00486F91" w:rsidP="00A56527">
            <w:pPr>
              <w:widowControl/>
              <w:jc w:val="center"/>
              <w:rPr>
                <w:color w:val="000000"/>
                <w:kern w:val="0"/>
                <w:sz w:val="18"/>
                <w:szCs w:val="18"/>
              </w:rPr>
            </w:pPr>
            <w:r w:rsidRPr="00B367B9">
              <w:rPr>
                <w:rFonts w:hint="eastAsia"/>
                <w:color w:val="000000"/>
                <w:kern w:val="0"/>
                <w:sz w:val="18"/>
                <w:szCs w:val="18"/>
              </w:rPr>
              <w:t>8.50</w:t>
            </w:r>
          </w:p>
        </w:tc>
      </w:tr>
      <w:tr w:rsidR="00486F91" w:rsidRPr="00094226" w:rsidTr="003D1341">
        <w:trPr>
          <w:trHeight w:hRule="exact" w:val="284"/>
        </w:trPr>
        <w:tc>
          <w:tcPr>
            <w:tcW w:w="2345" w:type="pct"/>
            <w:shd w:val="clear" w:color="auto" w:fill="D3EDFB"/>
            <w:vAlign w:val="center"/>
          </w:tcPr>
          <w:p w:rsidR="00486F91" w:rsidRPr="00094226" w:rsidRDefault="00486F91" w:rsidP="00481533">
            <w:pPr>
              <w:tabs>
                <w:tab w:val="left" w:pos="720"/>
              </w:tabs>
              <w:adjustRightInd w:val="0"/>
              <w:snapToGrid w:val="0"/>
              <w:outlineLvl w:val="0"/>
              <w:rPr>
                <w:sz w:val="18"/>
                <w:szCs w:val="18"/>
              </w:rPr>
            </w:pPr>
            <w:r w:rsidRPr="00094226">
              <w:rPr>
                <w:sz w:val="18"/>
                <w:szCs w:val="18"/>
              </w:rPr>
              <w:t>全社会固定资产投资总额（亿元）</w:t>
            </w:r>
          </w:p>
        </w:tc>
        <w:tc>
          <w:tcPr>
            <w:tcW w:w="859" w:type="pct"/>
            <w:shd w:val="clear" w:color="auto" w:fill="D3EDFB"/>
            <w:vAlign w:val="center"/>
          </w:tcPr>
          <w:p w:rsidR="00486F91" w:rsidRPr="00094226" w:rsidRDefault="00486F91" w:rsidP="00A56527">
            <w:pPr>
              <w:jc w:val="center"/>
              <w:rPr>
                <w:sz w:val="18"/>
                <w:szCs w:val="18"/>
              </w:rPr>
            </w:pPr>
            <w:r w:rsidRPr="00094226">
              <w:rPr>
                <w:sz w:val="18"/>
                <w:szCs w:val="18"/>
              </w:rPr>
              <w:t>35,982.50</w:t>
            </w:r>
          </w:p>
        </w:tc>
        <w:tc>
          <w:tcPr>
            <w:tcW w:w="973" w:type="pct"/>
            <w:shd w:val="clear" w:color="auto" w:fill="D3EDFB"/>
            <w:vAlign w:val="center"/>
          </w:tcPr>
          <w:p w:rsidR="00486F91" w:rsidRPr="00094226" w:rsidRDefault="00486F91" w:rsidP="00A56527">
            <w:pPr>
              <w:widowControl/>
              <w:jc w:val="center"/>
              <w:rPr>
                <w:color w:val="000000"/>
                <w:kern w:val="0"/>
                <w:sz w:val="18"/>
                <w:szCs w:val="18"/>
              </w:rPr>
            </w:pPr>
            <w:r w:rsidRPr="00094226">
              <w:rPr>
                <w:color w:val="000000"/>
                <w:kern w:val="0"/>
                <w:sz w:val="18"/>
                <w:szCs w:val="18"/>
              </w:rPr>
              <w:t>41,</w:t>
            </w:r>
            <w:r>
              <w:rPr>
                <w:rFonts w:hint="eastAsia"/>
                <w:color w:val="000000"/>
                <w:kern w:val="0"/>
                <w:sz w:val="18"/>
                <w:szCs w:val="18"/>
              </w:rPr>
              <w:t>938.65</w:t>
            </w:r>
          </w:p>
        </w:tc>
        <w:tc>
          <w:tcPr>
            <w:tcW w:w="823" w:type="pct"/>
            <w:shd w:val="clear" w:color="auto" w:fill="D3EDFB"/>
            <w:vAlign w:val="center"/>
          </w:tcPr>
          <w:p w:rsidR="00486F91" w:rsidRPr="00094226" w:rsidRDefault="00486F91" w:rsidP="00A56527">
            <w:pPr>
              <w:widowControl/>
              <w:jc w:val="center"/>
              <w:rPr>
                <w:color w:val="000000"/>
                <w:kern w:val="0"/>
                <w:sz w:val="18"/>
                <w:szCs w:val="18"/>
              </w:rPr>
            </w:pPr>
            <w:r w:rsidRPr="00891E1C">
              <w:rPr>
                <w:color w:val="000000"/>
                <w:kern w:val="0"/>
                <w:sz w:val="18"/>
                <w:szCs w:val="18"/>
              </w:rPr>
              <w:t>45</w:t>
            </w:r>
            <w:r>
              <w:rPr>
                <w:rFonts w:hint="eastAsia"/>
                <w:color w:val="000000"/>
                <w:kern w:val="0"/>
                <w:sz w:val="18"/>
                <w:szCs w:val="18"/>
              </w:rPr>
              <w:t>,</w:t>
            </w:r>
            <w:r w:rsidRPr="00891E1C">
              <w:rPr>
                <w:color w:val="000000"/>
                <w:kern w:val="0"/>
                <w:sz w:val="18"/>
                <w:szCs w:val="18"/>
              </w:rPr>
              <w:t>905.2</w:t>
            </w:r>
            <w:r>
              <w:rPr>
                <w:rFonts w:hint="eastAsia"/>
                <w:color w:val="000000"/>
                <w:kern w:val="0"/>
                <w:sz w:val="18"/>
                <w:szCs w:val="18"/>
              </w:rPr>
              <w:t>0</w:t>
            </w:r>
          </w:p>
        </w:tc>
      </w:tr>
      <w:tr w:rsidR="00486F91" w:rsidRPr="00094226" w:rsidTr="003D1341">
        <w:trPr>
          <w:trHeight w:hRule="exact" w:val="284"/>
        </w:trPr>
        <w:tc>
          <w:tcPr>
            <w:tcW w:w="2345" w:type="pct"/>
            <w:shd w:val="clear" w:color="auto" w:fill="auto"/>
            <w:vAlign w:val="center"/>
          </w:tcPr>
          <w:p w:rsidR="00486F91" w:rsidRPr="00094226" w:rsidRDefault="00486F91" w:rsidP="00481533">
            <w:pPr>
              <w:tabs>
                <w:tab w:val="left" w:pos="720"/>
              </w:tabs>
              <w:adjustRightInd w:val="0"/>
              <w:snapToGrid w:val="0"/>
              <w:outlineLvl w:val="0"/>
              <w:rPr>
                <w:sz w:val="18"/>
                <w:szCs w:val="18"/>
              </w:rPr>
            </w:pPr>
            <w:r w:rsidRPr="00094226">
              <w:rPr>
                <w:sz w:val="18"/>
                <w:szCs w:val="18"/>
              </w:rPr>
              <w:t>全年社会消费零售总额（亿元）</w:t>
            </w:r>
          </w:p>
        </w:tc>
        <w:tc>
          <w:tcPr>
            <w:tcW w:w="859" w:type="pct"/>
            <w:shd w:val="clear" w:color="auto" w:fill="auto"/>
            <w:vAlign w:val="center"/>
          </w:tcPr>
          <w:p w:rsidR="00486F91" w:rsidRPr="00094226" w:rsidRDefault="00486F91" w:rsidP="00A56527">
            <w:pPr>
              <w:jc w:val="center"/>
              <w:rPr>
                <w:sz w:val="18"/>
                <w:szCs w:val="18"/>
              </w:rPr>
            </w:pPr>
            <w:r w:rsidRPr="00094226">
              <w:rPr>
                <w:sz w:val="18"/>
                <w:szCs w:val="18"/>
              </w:rPr>
              <w:t>20,656.50</w:t>
            </w:r>
          </w:p>
        </w:tc>
        <w:tc>
          <w:tcPr>
            <w:tcW w:w="973" w:type="pct"/>
            <w:vAlign w:val="center"/>
          </w:tcPr>
          <w:p w:rsidR="00486F91" w:rsidRPr="00094226" w:rsidRDefault="00486F91" w:rsidP="00A56527">
            <w:pPr>
              <w:widowControl/>
              <w:jc w:val="center"/>
              <w:rPr>
                <w:color w:val="000000"/>
                <w:kern w:val="0"/>
                <w:sz w:val="18"/>
                <w:szCs w:val="18"/>
              </w:rPr>
            </w:pPr>
            <w:r w:rsidRPr="00094226">
              <w:rPr>
                <w:color w:val="000000"/>
                <w:kern w:val="0"/>
                <w:sz w:val="18"/>
                <w:szCs w:val="18"/>
              </w:rPr>
              <w:t>23,</w:t>
            </w:r>
            <w:r>
              <w:rPr>
                <w:rFonts w:hint="eastAsia"/>
                <w:color w:val="000000"/>
                <w:kern w:val="0"/>
                <w:sz w:val="18"/>
                <w:szCs w:val="18"/>
              </w:rPr>
              <w:t>458.07</w:t>
            </w:r>
          </w:p>
        </w:tc>
        <w:tc>
          <w:tcPr>
            <w:tcW w:w="823" w:type="pct"/>
          </w:tcPr>
          <w:p w:rsidR="00486F91" w:rsidRPr="00094226" w:rsidRDefault="00486F91" w:rsidP="00A56527">
            <w:pPr>
              <w:widowControl/>
              <w:jc w:val="center"/>
              <w:rPr>
                <w:color w:val="000000"/>
                <w:kern w:val="0"/>
                <w:sz w:val="18"/>
                <w:szCs w:val="18"/>
              </w:rPr>
            </w:pPr>
            <w:r w:rsidRPr="00891E1C">
              <w:rPr>
                <w:color w:val="000000"/>
                <w:kern w:val="0"/>
                <w:sz w:val="18"/>
                <w:szCs w:val="18"/>
              </w:rPr>
              <w:t>25</w:t>
            </w:r>
            <w:r>
              <w:rPr>
                <w:rFonts w:hint="eastAsia"/>
                <w:color w:val="000000"/>
                <w:kern w:val="0"/>
                <w:sz w:val="18"/>
                <w:szCs w:val="18"/>
              </w:rPr>
              <w:t>,</w:t>
            </w:r>
            <w:r w:rsidRPr="00891E1C">
              <w:rPr>
                <w:color w:val="000000"/>
                <w:kern w:val="0"/>
                <w:sz w:val="18"/>
                <w:szCs w:val="18"/>
              </w:rPr>
              <w:t>876.8</w:t>
            </w:r>
            <w:r>
              <w:rPr>
                <w:rFonts w:hint="eastAsia"/>
                <w:color w:val="000000"/>
                <w:kern w:val="0"/>
                <w:sz w:val="18"/>
                <w:szCs w:val="18"/>
              </w:rPr>
              <w:t>0</w:t>
            </w:r>
          </w:p>
        </w:tc>
      </w:tr>
      <w:tr w:rsidR="00486F91" w:rsidRPr="00094226" w:rsidTr="003D1341">
        <w:trPr>
          <w:trHeight w:hRule="exact" w:val="284"/>
        </w:trPr>
        <w:tc>
          <w:tcPr>
            <w:tcW w:w="2345" w:type="pct"/>
            <w:shd w:val="clear" w:color="auto" w:fill="D3EDFB"/>
            <w:vAlign w:val="center"/>
          </w:tcPr>
          <w:p w:rsidR="00486F91" w:rsidRPr="00094226" w:rsidRDefault="00486F91" w:rsidP="00481533">
            <w:pPr>
              <w:tabs>
                <w:tab w:val="left" w:pos="720"/>
              </w:tabs>
              <w:adjustRightInd w:val="0"/>
              <w:snapToGrid w:val="0"/>
              <w:outlineLvl w:val="0"/>
              <w:rPr>
                <w:sz w:val="18"/>
                <w:szCs w:val="18"/>
              </w:rPr>
            </w:pPr>
            <w:r w:rsidRPr="00094226">
              <w:rPr>
                <w:sz w:val="18"/>
                <w:szCs w:val="18"/>
              </w:rPr>
              <w:t>全年进出口总额（亿美元）</w:t>
            </w:r>
          </w:p>
        </w:tc>
        <w:tc>
          <w:tcPr>
            <w:tcW w:w="859" w:type="pct"/>
            <w:shd w:val="clear" w:color="auto" w:fill="D3EDFB"/>
            <w:vAlign w:val="center"/>
          </w:tcPr>
          <w:p w:rsidR="00486F91" w:rsidRPr="00094226" w:rsidRDefault="00486F91" w:rsidP="00A56527">
            <w:pPr>
              <w:jc w:val="center"/>
              <w:rPr>
                <w:sz w:val="18"/>
                <w:szCs w:val="18"/>
              </w:rPr>
            </w:pPr>
            <w:r w:rsidRPr="00094226">
              <w:rPr>
                <w:sz w:val="18"/>
                <w:szCs w:val="18"/>
              </w:rPr>
              <w:t>5,508.40</w:t>
            </w:r>
          </w:p>
        </w:tc>
        <w:tc>
          <w:tcPr>
            <w:tcW w:w="973" w:type="pct"/>
            <w:shd w:val="clear" w:color="auto" w:fill="D3EDFB"/>
            <w:vAlign w:val="center"/>
          </w:tcPr>
          <w:p w:rsidR="00486F91" w:rsidRPr="00094226" w:rsidRDefault="00486F91" w:rsidP="00A56527">
            <w:pPr>
              <w:widowControl/>
              <w:jc w:val="center"/>
              <w:rPr>
                <w:color w:val="000000"/>
                <w:kern w:val="0"/>
                <w:sz w:val="18"/>
                <w:szCs w:val="18"/>
              </w:rPr>
            </w:pPr>
            <w:r w:rsidRPr="00094226">
              <w:rPr>
                <w:color w:val="000000"/>
                <w:kern w:val="0"/>
                <w:sz w:val="18"/>
                <w:szCs w:val="18"/>
              </w:rPr>
              <w:t>5,637.6</w:t>
            </w:r>
            <w:r>
              <w:rPr>
                <w:rFonts w:hint="eastAsia"/>
                <w:color w:val="000000"/>
                <w:kern w:val="0"/>
                <w:sz w:val="18"/>
                <w:szCs w:val="18"/>
              </w:rPr>
              <w:t>2</w:t>
            </w:r>
          </w:p>
        </w:tc>
        <w:tc>
          <w:tcPr>
            <w:tcW w:w="823" w:type="pct"/>
            <w:shd w:val="clear" w:color="auto" w:fill="D3EDFB"/>
          </w:tcPr>
          <w:p w:rsidR="00486F91" w:rsidRPr="00094226" w:rsidRDefault="00486F91" w:rsidP="00A56527">
            <w:pPr>
              <w:widowControl/>
              <w:jc w:val="center"/>
              <w:rPr>
                <w:color w:val="000000"/>
                <w:kern w:val="0"/>
                <w:sz w:val="18"/>
                <w:szCs w:val="18"/>
              </w:rPr>
            </w:pPr>
            <w:r w:rsidRPr="00891E1C">
              <w:rPr>
                <w:color w:val="000000"/>
                <w:kern w:val="0"/>
                <w:sz w:val="18"/>
                <w:szCs w:val="18"/>
              </w:rPr>
              <w:t>5</w:t>
            </w:r>
            <w:r>
              <w:rPr>
                <w:rFonts w:hint="eastAsia"/>
                <w:color w:val="000000"/>
                <w:kern w:val="0"/>
                <w:sz w:val="18"/>
                <w:szCs w:val="18"/>
              </w:rPr>
              <w:t>,</w:t>
            </w:r>
            <w:r w:rsidRPr="00891E1C">
              <w:rPr>
                <w:color w:val="000000"/>
                <w:kern w:val="0"/>
                <w:sz w:val="18"/>
                <w:szCs w:val="18"/>
              </w:rPr>
              <w:t>456.1</w:t>
            </w:r>
            <w:r>
              <w:rPr>
                <w:rFonts w:hint="eastAsia"/>
                <w:color w:val="000000"/>
                <w:kern w:val="0"/>
                <w:sz w:val="18"/>
                <w:szCs w:val="18"/>
              </w:rPr>
              <w:t>0</w:t>
            </w:r>
          </w:p>
        </w:tc>
      </w:tr>
      <w:tr w:rsidR="00486F91" w:rsidRPr="00094226" w:rsidTr="003D1341">
        <w:trPr>
          <w:trHeight w:hRule="exact" w:val="284"/>
        </w:trPr>
        <w:tc>
          <w:tcPr>
            <w:tcW w:w="2345" w:type="pct"/>
            <w:shd w:val="clear" w:color="auto" w:fill="auto"/>
            <w:vAlign w:val="center"/>
          </w:tcPr>
          <w:p w:rsidR="00486F91" w:rsidRPr="00094226" w:rsidRDefault="00486F91" w:rsidP="00481533">
            <w:pPr>
              <w:tabs>
                <w:tab w:val="left" w:pos="720"/>
              </w:tabs>
              <w:adjustRightInd w:val="0"/>
              <w:snapToGrid w:val="0"/>
              <w:outlineLvl w:val="0"/>
              <w:rPr>
                <w:sz w:val="18"/>
                <w:szCs w:val="18"/>
              </w:rPr>
            </w:pPr>
            <w:r w:rsidRPr="00094226">
              <w:rPr>
                <w:sz w:val="18"/>
                <w:szCs w:val="18"/>
              </w:rPr>
              <w:t>三次产业结构</w:t>
            </w:r>
          </w:p>
        </w:tc>
        <w:tc>
          <w:tcPr>
            <w:tcW w:w="859" w:type="pct"/>
            <w:shd w:val="clear" w:color="auto" w:fill="auto"/>
            <w:vAlign w:val="center"/>
          </w:tcPr>
          <w:p w:rsidR="00486F91" w:rsidRPr="00094226" w:rsidRDefault="00486F91" w:rsidP="00A56527">
            <w:pPr>
              <w:jc w:val="center"/>
              <w:rPr>
                <w:sz w:val="18"/>
                <w:szCs w:val="18"/>
              </w:rPr>
            </w:pPr>
            <w:r w:rsidRPr="00094226">
              <w:rPr>
                <w:sz w:val="18"/>
                <w:szCs w:val="18"/>
              </w:rPr>
              <w:t>6.1:49.2:44.7</w:t>
            </w:r>
          </w:p>
        </w:tc>
        <w:tc>
          <w:tcPr>
            <w:tcW w:w="973" w:type="pct"/>
            <w:vAlign w:val="center"/>
          </w:tcPr>
          <w:p w:rsidR="00486F91" w:rsidRPr="00094226" w:rsidRDefault="00486F91" w:rsidP="00A56527">
            <w:pPr>
              <w:widowControl/>
              <w:jc w:val="center"/>
              <w:rPr>
                <w:color w:val="000000"/>
                <w:kern w:val="0"/>
                <w:sz w:val="18"/>
                <w:szCs w:val="18"/>
              </w:rPr>
            </w:pPr>
            <w:r w:rsidRPr="00094226">
              <w:rPr>
                <w:color w:val="000000"/>
                <w:kern w:val="0"/>
                <w:sz w:val="18"/>
                <w:szCs w:val="18"/>
              </w:rPr>
              <w:t>5.6:47.</w:t>
            </w:r>
            <w:r>
              <w:rPr>
                <w:rFonts w:hint="eastAsia"/>
                <w:color w:val="000000"/>
                <w:kern w:val="0"/>
                <w:sz w:val="18"/>
                <w:szCs w:val="18"/>
              </w:rPr>
              <w:t>4</w:t>
            </w:r>
            <w:r w:rsidRPr="00094226">
              <w:rPr>
                <w:color w:val="000000"/>
                <w:kern w:val="0"/>
                <w:sz w:val="18"/>
                <w:szCs w:val="18"/>
              </w:rPr>
              <w:t>:4</w:t>
            </w:r>
            <w:r>
              <w:rPr>
                <w:rFonts w:hint="eastAsia"/>
                <w:color w:val="000000"/>
                <w:kern w:val="0"/>
                <w:sz w:val="18"/>
                <w:szCs w:val="18"/>
              </w:rPr>
              <w:t>7.0</w:t>
            </w:r>
          </w:p>
        </w:tc>
        <w:tc>
          <w:tcPr>
            <w:tcW w:w="823" w:type="pct"/>
          </w:tcPr>
          <w:p w:rsidR="00486F91" w:rsidRPr="00094226" w:rsidRDefault="00486F91" w:rsidP="00A56527">
            <w:pPr>
              <w:widowControl/>
              <w:jc w:val="center"/>
              <w:rPr>
                <w:color w:val="000000"/>
                <w:kern w:val="0"/>
                <w:sz w:val="18"/>
                <w:szCs w:val="18"/>
              </w:rPr>
            </w:pPr>
            <w:r w:rsidRPr="00B367B9">
              <w:rPr>
                <w:color w:val="000000"/>
                <w:kern w:val="0"/>
                <w:sz w:val="18"/>
                <w:szCs w:val="18"/>
              </w:rPr>
              <w:t>5.</w:t>
            </w:r>
            <w:r w:rsidRPr="00B367B9">
              <w:rPr>
                <w:rFonts w:hint="eastAsia"/>
                <w:color w:val="000000"/>
                <w:kern w:val="0"/>
                <w:sz w:val="18"/>
                <w:szCs w:val="18"/>
              </w:rPr>
              <w:t>7</w:t>
            </w:r>
            <w:r w:rsidRPr="00B367B9">
              <w:rPr>
                <w:color w:val="000000"/>
                <w:kern w:val="0"/>
                <w:sz w:val="18"/>
                <w:szCs w:val="18"/>
              </w:rPr>
              <w:t>:4</w:t>
            </w:r>
            <w:r w:rsidRPr="00B367B9">
              <w:rPr>
                <w:rFonts w:hint="eastAsia"/>
                <w:color w:val="000000"/>
                <w:kern w:val="0"/>
                <w:sz w:val="18"/>
                <w:szCs w:val="18"/>
              </w:rPr>
              <w:t>5</w:t>
            </w:r>
            <w:r w:rsidRPr="00B367B9">
              <w:rPr>
                <w:color w:val="000000"/>
                <w:kern w:val="0"/>
                <w:sz w:val="18"/>
                <w:szCs w:val="18"/>
              </w:rPr>
              <w:t>.</w:t>
            </w:r>
            <w:r w:rsidRPr="00B367B9">
              <w:rPr>
                <w:rFonts w:hint="eastAsia"/>
                <w:color w:val="000000"/>
                <w:kern w:val="0"/>
                <w:sz w:val="18"/>
                <w:szCs w:val="18"/>
              </w:rPr>
              <w:t>7</w:t>
            </w:r>
            <w:r w:rsidRPr="00B367B9">
              <w:rPr>
                <w:color w:val="000000"/>
                <w:kern w:val="0"/>
                <w:sz w:val="18"/>
                <w:szCs w:val="18"/>
              </w:rPr>
              <w:t>:4</w:t>
            </w:r>
            <w:r w:rsidRPr="00B367B9">
              <w:rPr>
                <w:rFonts w:hint="eastAsia"/>
                <w:color w:val="000000"/>
                <w:kern w:val="0"/>
                <w:sz w:val="18"/>
                <w:szCs w:val="18"/>
              </w:rPr>
              <w:t>8.6</w:t>
            </w:r>
          </w:p>
        </w:tc>
      </w:tr>
      <w:tr w:rsidR="00486F91" w:rsidRPr="00094226" w:rsidTr="003D1341">
        <w:trPr>
          <w:trHeight w:hRule="exact" w:val="284"/>
        </w:trPr>
        <w:tc>
          <w:tcPr>
            <w:tcW w:w="2345" w:type="pct"/>
            <w:shd w:val="clear" w:color="auto" w:fill="D3EDFB"/>
            <w:vAlign w:val="center"/>
          </w:tcPr>
          <w:p w:rsidR="00486F91" w:rsidRPr="00094226" w:rsidRDefault="00486F91" w:rsidP="00481533">
            <w:pPr>
              <w:tabs>
                <w:tab w:val="left" w:pos="720"/>
              </w:tabs>
              <w:adjustRightInd w:val="0"/>
              <w:snapToGrid w:val="0"/>
              <w:outlineLvl w:val="0"/>
              <w:rPr>
                <w:sz w:val="18"/>
                <w:szCs w:val="18"/>
              </w:rPr>
            </w:pPr>
            <w:r w:rsidRPr="00094226">
              <w:rPr>
                <w:sz w:val="18"/>
                <w:szCs w:val="18"/>
              </w:rPr>
              <w:t>第一产业增加值（亿元）</w:t>
            </w:r>
          </w:p>
        </w:tc>
        <w:tc>
          <w:tcPr>
            <w:tcW w:w="859" w:type="pct"/>
            <w:shd w:val="clear" w:color="auto" w:fill="D3EDFB"/>
            <w:vAlign w:val="center"/>
          </w:tcPr>
          <w:p w:rsidR="00486F91" w:rsidRPr="00094226" w:rsidRDefault="00486F91" w:rsidP="00A56527">
            <w:pPr>
              <w:jc w:val="center"/>
              <w:rPr>
                <w:sz w:val="18"/>
                <w:szCs w:val="18"/>
              </w:rPr>
            </w:pPr>
            <w:r w:rsidRPr="00094226">
              <w:rPr>
                <w:sz w:val="18"/>
                <w:szCs w:val="18"/>
              </w:rPr>
              <w:t>3,646.10</w:t>
            </w:r>
          </w:p>
        </w:tc>
        <w:tc>
          <w:tcPr>
            <w:tcW w:w="973" w:type="pct"/>
            <w:shd w:val="clear" w:color="auto" w:fill="D3EDFB"/>
            <w:vAlign w:val="center"/>
          </w:tcPr>
          <w:p w:rsidR="00486F91" w:rsidRPr="00094226" w:rsidRDefault="00486F91" w:rsidP="00A56527">
            <w:pPr>
              <w:widowControl/>
              <w:jc w:val="center"/>
              <w:rPr>
                <w:color w:val="000000"/>
                <w:kern w:val="0"/>
                <w:sz w:val="18"/>
                <w:szCs w:val="18"/>
              </w:rPr>
            </w:pPr>
            <w:r w:rsidRPr="00094226">
              <w:rPr>
                <w:color w:val="000000"/>
                <w:kern w:val="0"/>
                <w:sz w:val="18"/>
                <w:szCs w:val="18"/>
              </w:rPr>
              <w:t>3,634.3</w:t>
            </w:r>
            <w:r>
              <w:rPr>
                <w:rFonts w:hint="eastAsia"/>
                <w:color w:val="000000"/>
                <w:kern w:val="0"/>
                <w:sz w:val="18"/>
                <w:szCs w:val="18"/>
              </w:rPr>
              <w:t>3</w:t>
            </w:r>
          </w:p>
        </w:tc>
        <w:tc>
          <w:tcPr>
            <w:tcW w:w="823" w:type="pct"/>
            <w:shd w:val="clear" w:color="auto" w:fill="D3EDFB"/>
          </w:tcPr>
          <w:p w:rsidR="00486F91" w:rsidRPr="00094226" w:rsidRDefault="00486F91" w:rsidP="00A56527">
            <w:pPr>
              <w:widowControl/>
              <w:jc w:val="center"/>
              <w:rPr>
                <w:color w:val="000000"/>
                <w:kern w:val="0"/>
                <w:sz w:val="18"/>
                <w:szCs w:val="18"/>
              </w:rPr>
            </w:pPr>
            <w:r w:rsidRPr="007A00EB">
              <w:rPr>
                <w:color w:val="000000"/>
                <w:kern w:val="0"/>
                <w:sz w:val="18"/>
                <w:szCs w:val="18"/>
              </w:rPr>
              <w:t>3</w:t>
            </w:r>
            <w:r>
              <w:rPr>
                <w:rFonts w:hint="eastAsia"/>
                <w:color w:val="000000"/>
                <w:kern w:val="0"/>
                <w:sz w:val="18"/>
                <w:szCs w:val="18"/>
              </w:rPr>
              <w:t>,</w:t>
            </w:r>
            <w:r w:rsidRPr="007A00EB">
              <w:rPr>
                <w:color w:val="000000"/>
                <w:kern w:val="0"/>
                <w:sz w:val="18"/>
                <w:szCs w:val="18"/>
              </w:rPr>
              <w:t>988</w:t>
            </w:r>
            <w:r>
              <w:rPr>
                <w:rFonts w:hint="eastAsia"/>
                <w:color w:val="000000"/>
                <w:kern w:val="0"/>
                <w:sz w:val="18"/>
                <w:szCs w:val="18"/>
              </w:rPr>
              <w:t>.00</w:t>
            </w:r>
          </w:p>
        </w:tc>
      </w:tr>
      <w:tr w:rsidR="00486F91" w:rsidRPr="00094226" w:rsidTr="003D1341">
        <w:trPr>
          <w:trHeight w:hRule="exact" w:val="284"/>
        </w:trPr>
        <w:tc>
          <w:tcPr>
            <w:tcW w:w="2345" w:type="pct"/>
            <w:shd w:val="clear" w:color="auto" w:fill="auto"/>
            <w:vAlign w:val="center"/>
          </w:tcPr>
          <w:p w:rsidR="00486F91" w:rsidRPr="00094226" w:rsidRDefault="00486F91" w:rsidP="00481533">
            <w:pPr>
              <w:tabs>
                <w:tab w:val="left" w:pos="720"/>
              </w:tabs>
              <w:adjustRightInd w:val="0"/>
              <w:snapToGrid w:val="0"/>
              <w:outlineLvl w:val="0"/>
              <w:rPr>
                <w:sz w:val="18"/>
                <w:szCs w:val="18"/>
              </w:rPr>
            </w:pPr>
            <w:r w:rsidRPr="00094226">
              <w:rPr>
                <w:sz w:val="18"/>
                <w:szCs w:val="18"/>
              </w:rPr>
              <w:t>第二产业增加值（亿元）</w:t>
            </w:r>
          </w:p>
        </w:tc>
        <w:tc>
          <w:tcPr>
            <w:tcW w:w="859" w:type="pct"/>
            <w:shd w:val="clear" w:color="auto" w:fill="auto"/>
            <w:vAlign w:val="center"/>
          </w:tcPr>
          <w:p w:rsidR="00486F91" w:rsidRPr="00094226" w:rsidRDefault="00486F91" w:rsidP="00A56527">
            <w:pPr>
              <w:jc w:val="center"/>
              <w:rPr>
                <w:sz w:val="18"/>
                <w:szCs w:val="18"/>
              </w:rPr>
            </w:pPr>
            <w:r w:rsidRPr="00094226">
              <w:rPr>
                <w:sz w:val="18"/>
                <w:szCs w:val="18"/>
              </w:rPr>
              <w:t>29,094.0</w:t>
            </w:r>
            <w:r>
              <w:rPr>
                <w:rFonts w:hint="eastAsia"/>
                <w:sz w:val="18"/>
                <w:szCs w:val="18"/>
              </w:rPr>
              <w:t>0</w:t>
            </w:r>
          </w:p>
        </w:tc>
        <w:tc>
          <w:tcPr>
            <w:tcW w:w="973" w:type="pct"/>
            <w:vAlign w:val="center"/>
          </w:tcPr>
          <w:p w:rsidR="00486F91" w:rsidRPr="00094226" w:rsidRDefault="00486F91" w:rsidP="00A56527">
            <w:pPr>
              <w:widowControl/>
              <w:jc w:val="center"/>
              <w:rPr>
                <w:color w:val="000000"/>
                <w:kern w:val="0"/>
                <w:sz w:val="18"/>
                <w:szCs w:val="18"/>
              </w:rPr>
            </w:pPr>
            <w:r w:rsidRPr="00094226">
              <w:rPr>
                <w:color w:val="000000"/>
                <w:kern w:val="0"/>
                <w:sz w:val="18"/>
                <w:szCs w:val="18"/>
              </w:rPr>
              <w:t>3</w:t>
            </w:r>
            <w:r>
              <w:rPr>
                <w:rFonts w:hint="eastAsia"/>
                <w:color w:val="000000"/>
                <w:kern w:val="0"/>
                <w:sz w:val="18"/>
                <w:szCs w:val="18"/>
              </w:rPr>
              <w:t>0</w:t>
            </w:r>
            <w:r w:rsidRPr="00094226">
              <w:rPr>
                <w:color w:val="000000"/>
                <w:kern w:val="0"/>
                <w:sz w:val="18"/>
                <w:szCs w:val="18"/>
              </w:rPr>
              <w:t>,</w:t>
            </w:r>
            <w:r>
              <w:rPr>
                <w:rFonts w:hint="eastAsia"/>
                <w:color w:val="000000"/>
                <w:kern w:val="0"/>
                <w:sz w:val="18"/>
                <w:szCs w:val="18"/>
              </w:rPr>
              <w:t>854.50</w:t>
            </w:r>
          </w:p>
        </w:tc>
        <w:tc>
          <w:tcPr>
            <w:tcW w:w="823" w:type="pct"/>
          </w:tcPr>
          <w:p w:rsidR="00486F91" w:rsidRPr="00094226" w:rsidRDefault="00486F91" w:rsidP="00A56527">
            <w:pPr>
              <w:widowControl/>
              <w:jc w:val="center"/>
              <w:rPr>
                <w:color w:val="000000"/>
                <w:kern w:val="0"/>
                <w:sz w:val="18"/>
                <w:szCs w:val="18"/>
              </w:rPr>
            </w:pPr>
            <w:r w:rsidRPr="007A00EB">
              <w:rPr>
                <w:color w:val="000000"/>
                <w:kern w:val="0"/>
                <w:sz w:val="18"/>
                <w:szCs w:val="18"/>
              </w:rPr>
              <w:t>32</w:t>
            </w:r>
            <w:r>
              <w:rPr>
                <w:rFonts w:hint="eastAsia"/>
                <w:color w:val="000000"/>
                <w:kern w:val="0"/>
                <w:sz w:val="18"/>
                <w:szCs w:val="18"/>
              </w:rPr>
              <w:t>,</w:t>
            </w:r>
            <w:r w:rsidRPr="007A00EB">
              <w:rPr>
                <w:color w:val="000000"/>
                <w:kern w:val="0"/>
                <w:sz w:val="18"/>
                <w:szCs w:val="18"/>
              </w:rPr>
              <w:t>043.6</w:t>
            </w:r>
            <w:r>
              <w:rPr>
                <w:rFonts w:hint="eastAsia"/>
                <w:color w:val="000000"/>
                <w:kern w:val="0"/>
                <w:sz w:val="18"/>
                <w:szCs w:val="18"/>
              </w:rPr>
              <w:t>0</w:t>
            </w:r>
          </w:p>
        </w:tc>
      </w:tr>
      <w:tr w:rsidR="00486F91" w:rsidRPr="00094226" w:rsidTr="003D1341">
        <w:trPr>
          <w:trHeight w:hRule="exact" w:val="284"/>
        </w:trPr>
        <w:tc>
          <w:tcPr>
            <w:tcW w:w="2345" w:type="pct"/>
            <w:shd w:val="clear" w:color="auto" w:fill="D3EDFB"/>
            <w:vAlign w:val="center"/>
          </w:tcPr>
          <w:p w:rsidR="00486F91" w:rsidRPr="00094226" w:rsidRDefault="00486F91" w:rsidP="00481533">
            <w:pPr>
              <w:tabs>
                <w:tab w:val="left" w:pos="720"/>
              </w:tabs>
              <w:adjustRightInd w:val="0"/>
              <w:snapToGrid w:val="0"/>
              <w:outlineLvl w:val="0"/>
              <w:rPr>
                <w:sz w:val="18"/>
                <w:szCs w:val="18"/>
              </w:rPr>
            </w:pPr>
            <w:r w:rsidRPr="00094226">
              <w:rPr>
                <w:sz w:val="18"/>
                <w:szCs w:val="18"/>
              </w:rPr>
              <w:t>其中：规模以上工业增加值（亿元）</w:t>
            </w:r>
          </w:p>
        </w:tc>
        <w:tc>
          <w:tcPr>
            <w:tcW w:w="859" w:type="pct"/>
            <w:shd w:val="clear" w:color="auto" w:fill="D3EDFB"/>
            <w:vAlign w:val="center"/>
          </w:tcPr>
          <w:p w:rsidR="00486F91" w:rsidRPr="00094226" w:rsidRDefault="00486F91" w:rsidP="00A56527">
            <w:pPr>
              <w:jc w:val="center"/>
              <w:rPr>
                <w:sz w:val="18"/>
                <w:szCs w:val="18"/>
              </w:rPr>
            </w:pPr>
            <w:r w:rsidRPr="00094226">
              <w:rPr>
                <w:sz w:val="18"/>
                <w:szCs w:val="18"/>
              </w:rPr>
              <w:t>29,399.39</w:t>
            </w:r>
          </w:p>
        </w:tc>
        <w:tc>
          <w:tcPr>
            <w:tcW w:w="973" w:type="pct"/>
            <w:shd w:val="clear" w:color="auto" w:fill="D3EDFB"/>
            <w:vAlign w:val="center"/>
          </w:tcPr>
          <w:p w:rsidR="00486F91" w:rsidRPr="00094226" w:rsidRDefault="00486F91" w:rsidP="00A56527">
            <w:pPr>
              <w:widowControl/>
              <w:jc w:val="center"/>
              <w:rPr>
                <w:color w:val="000000"/>
                <w:kern w:val="0"/>
                <w:sz w:val="18"/>
                <w:szCs w:val="18"/>
              </w:rPr>
            </w:pPr>
            <w:r w:rsidRPr="00783188">
              <w:rPr>
                <w:color w:val="000000"/>
                <w:kern w:val="0"/>
                <w:sz w:val="18"/>
                <w:szCs w:val="18"/>
              </w:rPr>
              <w:t>31,507.87</w:t>
            </w:r>
          </w:p>
        </w:tc>
        <w:tc>
          <w:tcPr>
            <w:tcW w:w="823" w:type="pct"/>
            <w:shd w:val="clear" w:color="auto" w:fill="D3EDFB"/>
          </w:tcPr>
          <w:p w:rsidR="00486F91" w:rsidRPr="00094226" w:rsidRDefault="00486F91" w:rsidP="00A56527">
            <w:pPr>
              <w:widowControl/>
              <w:jc w:val="center"/>
              <w:rPr>
                <w:color w:val="000000"/>
                <w:kern w:val="0"/>
                <w:sz w:val="18"/>
                <w:szCs w:val="18"/>
              </w:rPr>
            </w:pPr>
            <w:r w:rsidRPr="00681082">
              <w:rPr>
                <w:color w:val="000000"/>
                <w:kern w:val="0"/>
                <w:sz w:val="18"/>
                <w:szCs w:val="18"/>
              </w:rPr>
              <w:t>33</w:t>
            </w:r>
            <w:r w:rsidRPr="00681082">
              <w:rPr>
                <w:rFonts w:hint="eastAsia"/>
                <w:color w:val="000000"/>
                <w:kern w:val="0"/>
                <w:sz w:val="18"/>
                <w:szCs w:val="18"/>
              </w:rPr>
              <w:t>,</w:t>
            </w:r>
            <w:r w:rsidRPr="00681082">
              <w:rPr>
                <w:color w:val="000000"/>
                <w:kern w:val="0"/>
                <w:sz w:val="18"/>
                <w:szCs w:val="18"/>
              </w:rPr>
              <w:t>422.5</w:t>
            </w:r>
            <w:r w:rsidRPr="00681082">
              <w:rPr>
                <w:rFonts w:hint="eastAsia"/>
                <w:color w:val="000000"/>
                <w:kern w:val="0"/>
                <w:sz w:val="18"/>
                <w:szCs w:val="18"/>
              </w:rPr>
              <w:t>0</w:t>
            </w:r>
          </w:p>
        </w:tc>
      </w:tr>
      <w:tr w:rsidR="00486F91" w:rsidRPr="00094226" w:rsidTr="003D1341">
        <w:trPr>
          <w:trHeight w:hRule="exact" w:val="284"/>
        </w:trPr>
        <w:tc>
          <w:tcPr>
            <w:tcW w:w="2345" w:type="pct"/>
            <w:shd w:val="clear" w:color="auto" w:fill="auto"/>
            <w:vAlign w:val="center"/>
          </w:tcPr>
          <w:p w:rsidR="00486F91" w:rsidRPr="00094226" w:rsidRDefault="00486F91" w:rsidP="00481533">
            <w:pPr>
              <w:tabs>
                <w:tab w:val="left" w:pos="720"/>
              </w:tabs>
              <w:adjustRightInd w:val="0"/>
              <w:snapToGrid w:val="0"/>
              <w:outlineLvl w:val="0"/>
              <w:rPr>
                <w:sz w:val="18"/>
                <w:szCs w:val="18"/>
              </w:rPr>
            </w:pPr>
            <w:r w:rsidRPr="00094226">
              <w:rPr>
                <w:sz w:val="18"/>
                <w:szCs w:val="18"/>
              </w:rPr>
              <w:t>第三产业增加值（亿元）</w:t>
            </w:r>
          </w:p>
        </w:tc>
        <w:tc>
          <w:tcPr>
            <w:tcW w:w="859" w:type="pct"/>
            <w:shd w:val="clear" w:color="auto" w:fill="auto"/>
            <w:vAlign w:val="center"/>
          </w:tcPr>
          <w:p w:rsidR="00486F91" w:rsidRPr="00094226" w:rsidRDefault="00486F91" w:rsidP="00A56527">
            <w:pPr>
              <w:jc w:val="center"/>
              <w:rPr>
                <w:sz w:val="18"/>
                <w:szCs w:val="18"/>
              </w:rPr>
            </w:pPr>
            <w:r w:rsidRPr="00094226">
              <w:rPr>
                <w:sz w:val="18"/>
                <w:szCs w:val="18"/>
              </w:rPr>
              <w:t>26,421.7</w:t>
            </w:r>
            <w:r>
              <w:rPr>
                <w:rFonts w:hint="eastAsia"/>
                <w:sz w:val="18"/>
                <w:szCs w:val="18"/>
              </w:rPr>
              <w:t>0</w:t>
            </w:r>
          </w:p>
        </w:tc>
        <w:tc>
          <w:tcPr>
            <w:tcW w:w="973" w:type="pct"/>
            <w:vAlign w:val="center"/>
          </w:tcPr>
          <w:p w:rsidR="00486F91" w:rsidRPr="00094226" w:rsidRDefault="00486F91" w:rsidP="00A56527">
            <w:pPr>
              <w:widowControl/>
              <w:jc w:val="center"/>
              <w:rPr>
                <w:color w:val="000000"/>
                <w:kern w:val="0"/>
                <w:sz w:val="18"/>
                <w:szCs w:val="18"/>
              </w:rPr>
            </w:pPr>
            <w:r w:rsidRPr="00094226">
              <w:rPr>
                <w:color w:val="000000"/>
                <w:kern w:val="0"/>
                <w:sz w:val="18"/>
                <w:szCs w:val="18"/>
              </w:rPr>
              <w:t>30,</w:t>
            </w:r>
            <w:r>
              <w:rPr>
                <w:rFonts w:hint="eastAsia"/>
                <w:color w:val="000000"/>
                <w:kern w:val="0"/>
                <w:sz w:val="18"/>
                <w:szCs w:val="18"/>
              </w:rPr>
              <w:t>599.49</w:t>
            </w:r>
          </w:p>
        </w:tc>
        <w:tc>
          <w:tcPr>
            <w:tcW w:w="823" w:type="pct"/>
          </w:tcPr>
          <w:p w:rsidR="00486F91" w:rsidRPr="00094226" w:rsidRDefault="00486F91" w:rsidP="00A56527">
            <w:pPr>
              <w:widowControl/>
              <w:jc w:val="center"/>
              <w:rPr>
                <w:color w:val="000000"/>
                <w:kern w:val="0"/>
                <w:sz w:val="18"/>
                <w:szCs w:val="18"/>
              </w:rPr>
            </w:pPr>
            <w:r w:rsidRPr="007A00EB">
              <w:rPr>
                <w:color w:val="000000"/>
                <w:kern w:val="0"/>
                <w:sz w:val="18"/>
                <w:szCs w:val="18"/>
              </w:rPr>
              <w:t>34</w:t>
            </w:r>
            <w:r>
              <w:rPr>
                <w:rFonts w:hint="eastAsia"/>
                <w:color w:val="000000"/>
                <w:kern w:val="0"/>
                <w:sz w:val="18"/>
                <w:szCs w:val="18"/>
              </w:rPr>
              <w:t>,</w:t>
            </w:r>
            <w:r w:rsidRPr="007A00EB">
              <w:rPr>
                <w:color w:val="000000"/>
                <w:kern w:val="0"/>
                <w:sz w:val="18"/>
                <w:szCs w:val="18"/>
              </w:rPr>
              <w:t>084.8</w:t>
            </w:r>
            <w:r>
              <w:rPr>
                <w:rFonts w:hint="eastAsia"/>
                <w:color w:val="000000"/>
                <w:kern w:val="0"/>
                <w:sz w:val="18"/>
                <w:szCs w:val="18"/>
              </w:rPr>
              <w:t>0</w:t>
            </w:r>
          </w:p>
        </w:tc>
      </w:tr>
      <w:tr w:rsidR="00486F91" w:rsidRPr="00094226" w:rsidTr="003D1341">
        <w:trPr>
          <w:trHeight w:hRule="exact" w:val="284"/>
        </w:trPr>
        <w:tc>
          <w:tcPr>
            <w:tcW w:w="2345" w:type="pct"/>
            <w:shd w:val="clear" w:color="auto" w:fill="D3EDFB"/>
            <w:vAlign w:val="center"/>
          </w:tcPr>
          <w:p w:rsidR="00486F91" w:rsidRPr="00094226" w:rsidRDefault="00486F91" w:rsidP="00481533">
            <w:pPr>
              <w:tabs>
                <w:tab w:val="left" w:pos="720"/>
              </w:tabs>
              <w:adjustRightInd w:val="0"/>
              <w:snapToGrid w:val="0"/>
              <w:outlineLvl w:val="0"/>
              <w:rPr>
                <w:sz w:val="18"/>
                <w:szCs w:val="18"/>
              </w:rPr>
            </w:pPr>
            <w:r w:rsidRPr="00094226">
              <w:rPr>
                <w:sz w:val="18"/>
                <w:szCs w:val="18"/>
              </w:rPr>
              <w:t>投资对经济增长的贡献率（</w:t>
            </w:r>
            <w:r w:rsidRPr="00094226">
              <w:rPr>
                <w:sz w:val="18"/>
                <w:szCs w:val="18"/>
              </w:rPr>
              <w:t>%</w:t>
            </w:r>
            <w:r w:rsidRPr="00094226">
              <w:rPr>
                <w:sz w:val="18"/>
                <w:szCs w:val="18"/>
              </w:rPr>
              <w:t>）</w:t>
            </w:r>
          </w:p>
        </w:tc>
        <w:tc>
          <w:tcPr>
            <w:tcW w:w="859" w:type="pct"/>
            <w:shd w:val="clear" w:color="auto" w:fill="D3EDFB"/>
            <w:vAlign w:val="center"/>
          </w:tcPr>
          <w:p w:rsidR="00486F91" w:rsidRPr="00094226" w:rsidRDefault="00486F91" w:rsidP="00A56527">
            <w:pPr>
              <w:jc w:val="center"/>
              <w:rPr>
                <w:sz w:val="18"/>
                <w:szCs w:val="18"/>
              </w:rPr>
            </w:pPr>
            <w:r w:rsidRPr="00094226">
              <w:rPr>
                <w:rFonts w:hint="eastAsia"/>
                <w:sz w:val="18"/>
                <w:szCs w:val="18"/>
              </w:rPr>
              <w:t>48.4</w:t>
            </w:r>
            <w:r w:rsidR="008F116A">
              <w:rPr>
                <w:rFonts w:hint="eastAsia"/>
                <w:sz w:val="18"/>
                <w:szCs w:val="18"/>
              </w:rPr>
              <w:t>0</w:t>
            </w:r>
          </w:p>
        </w:tc>
        <w:tc>
          <w:tcPr>
            <w:tcW w:w="973" w:type="pct"/>
            <w:shd w:val="clear" w:color="auto" w:fill="D3EDFB"/>
            <w:vAlign w:val="center"/>
          </w:tcPr>
          <w:p w:rsidR="00486F91" w:rsidRPr="00094226" w:rsidRDefault="00486F91" w:rsidP="00A56527">
            <w:pPr>
              <w:widowControl/>
              <w:jc w:val="center"/>
              <w:rPr>
                <w:color w:val="000000"/>
                <w:kern w:val="0"/>
                <w:sz w:val="18"/>
                <w:szCs w:val="18"/>
              </w:rPr>
            </w:pPr>
            <w:r>
              <w:rPr>
                <w:rFonts w:hint="eastAsia"/>
                <w:color w:val="000000"/>
                <w:kern w:val="0"/>
                <w:sz w:val="18"/>
                <w:szCs w:val="18"/>
              </w:rPr>
              <w:t>45.8</w:t>
            </w:r>
            <w:r w:rsidR="008F116A">
              <w:rPr>
                <w:rFonts w:hint="eastAsia"/>
                <w:color w:val="000000"/>
                <w:kern w:val="0"/>
                <w:sz w:val="18"/>
                <w:szCs w:val="18"/>
              </w:rPr>
              <w:t>0</w:t>
            </w:r>
          </w:p>
        </w:tc>
        <w:tc>
          <w:tcPr>
            <w:tcW w:w="823" w:type="pct"/>
            <w:shd w:val="clear" w:color="auto" w:fill="D3EDFB"/>
            <w:vAlign w:val="center"/>
          </w:tcPr>
          <w:p w:rsidR="00486F91" w:rsidRPr="00094226" w:rsidRDefault="00486F91" w:rsidP="00A56527">
            <w:pPr>
              <w:widowControl/>
              <w:jc w:val="center"/>
              <w:rPr>
                <w:color w:val="000000"/>
                <w:kern w:val="0"/>
                <w:sz w:val="18"/>
                <w:szCs w:val="18"/>
              </w:rPr>
            </w:pPr>
            <w:r w:rsidRPr="00094226">
              <w:rPr>
                <w:color w:val="000000"/>
                <w:kern w:val="0"/>
                <w:sz w:val="18"/>
                <w:szCs w:val="18"/>
              </w:rPr>
              <w:t>—</w:t>
            </w:r>
          </w:p>
        </w:tc>
      </w:tr>
      <w:tr w:rsidR="00486F91" w:rsidRPr="00094226" w:rsidTr="003D1341">
        <w:trPr>
          <w:trHeight w:hRule="exact" w:val="284"/>
        </w:trPr>
        <w:tc>
          <w:tcPr>
            <w:tcW w:w="2345" w:type="pct"/>
            <w:shd w:val="clear" w:color="auto" w:fill="auto"/>
            <w:vAlign w:val="center"/>
          </w:tcPr>
          <w:p w:rsidR="00486F91" w:rsidRPr="00094226" w:rsidRDefault="00486F91" w:rsidP="00481533">
            <w:pPr>
              <w:tabs>
                <w:tab w:val="left" w:pos="720"/>
              </w:tabs>
              <w:adjustRightInd w:val="0"/>
              <w:snapToGrid w:val="0"/>
              <w:outlineLvl w:val="0"/>
              <w:rPr>
                <w:sz w:val="18"/>
                <w:szCs w:val="18"/>
              </w:rPr>
            </w:pPr>
            <w:r w:rsidRPr="00094226">
              <w:rPr>
                <w:sz w:val="18"/>
                <w:szCs w:val="18"/>
              </w:rPr>
              <w:t>消费对经济增长的贡献率（</w:t>
            </w:r>
            <w:r w:rsidRPr="00094226">
              <w:rPr>
                <w:sz w:val="18"/>
                <w:szCs w:val="18"/>
              </w:rPr>
              <w:t>%</w:t>
            </w:r>
            <w:r w:rsidRPr="00094226">
              <w:rPr>
                <w:sz w:val="18"/>
                <w:szCs w:val="18"/>
              </w:rPr>
              <w:t>）</w:t>
            </w:r>
          </w:p>
        </w:tc>
        <w:tc>
          <w:tcPr>
            <w:tcW w:w="859" w:type="pct"/>
            <w:shd w:val="clear" w:color="auto" w:fill="auto"/>
            <w:vAlign w:val="center"/>
          </w:tcPr>
          <w:p w:rsidR="00486F91" w:rsidRPr="00094226" w:rsidRDefault="00486F91" w:rsidP="00A56527">
            <w:pPr>
              <w:jc w:val="center"/>
              <w:rPr>
                <w:sz w:val="18"/>
                <w:szCs w:val="18"/>
              </w:rPr>
            </w:pPr>
            <w:r w:rsidRPr="00094226">
              <w:rPr>
                <w:rFonts w:hint="eastAsia"/>
                <w:sz w:val="18"/>
                <w:szCs w:val="18"/>
              </w:rPr>
              <w:t>45.0</w:t>
            </w:r>
            <w:r w:rsidR="008F116A">
              <w:rPr>
                <w:rFonts w:hint="eastAsia"/>
                <w:sz w:val="18"/>
                <w:szCs w:val="18"/>
              </w:rPr>
              <w:t>0</w:t>
            </w:r>
          </w:p>
        </w:tc>
        <w:tc>
          <w:tcPr>
            <w:tcW w:w="973" w:type="pct"/>
            <w:vAlign w:val="center"/>
          </w:tcPr>
          <w:p w:rsidR="00486F91" w:rsidRPr="00094226" w:rsidRDefault="00486F91" w:rsidP="00A56527">
            <w:pPr>
              <w:widowControl/>
              <w:jc w:val="center"/>
              <w:rPr>
                <w:color w:val="000000"/>
                <w:kern w:val="0"/>
                <w:sz w:val="18"/>
                <w:szCs w:val="18"/>
              </w:rPr>
            </w:pPr>
            <w:r>
              <w:rPr>
                <w:rFonts w:hint="eastAsia"/>
                <w:color w:val="000000"/>
                <w:kern w:val="0"/>
                <w:sz w:val="18"/>
                <w:szCs w:val="18"/>
              </w:rPr>
              <w:t>47.7</w:t>
            </w:r>
            <w:r w:rsidR="008F116A">
              <w:rPr>
                <w:rFonts w:hint="eastAsia"/>
                <w:color w:val="000000"/>
                <w:kern w:val="0"/>
                <w:sz w:val="18"/>
                <w:szCs w:val="18"/>
              </w:rPr>
              <w:t>0</w:t>
            </w:r>
          </w:p>
        </w:tc>
        <w:tc>
          <w:tcPr>
            <w:tcW w:w="823" w:type="pct"/>
            <w:vAlign w:val="center"/>
          </w:tcPr>
          <w:p w:rsidR="00486F91" w:rsidRPr="00094226" w:rsidRDefault="00486F91" w:rsidP="00A56527">
            <w:pPr>
              <w:widowControl/>
              <w:jc w:val="center"/>
              <w:rPr>
                <w:color w:val="000000"/>
                <w:kern w:val="0"/>
                <w:sz w:val="18"/>
                <w:szCs w:val="18"/>
              </w:rPr>
            </w:pPr>
            <w:r w:rsidRPr="00094226">
              <w:rPr>
                <w:color w:val="000000"/>
                <w:kern w:val="0"/>
                <w:sz w:val="18"/>
                <w:szCs w:val="18"/>
              </w:rPr>
              <w:t>—</w:t>
            </w:r>
          </w:p>
        </w:tc>
      </w:tr>
      <w:tr w:rsidR="00486F91" w:rsidRPr="00094226" w:rsidTr="003D1341">
        <w:trPr>
          <w:trHeight w:hRule="exact" w:val="284"/>
        </w:trPr>
        <w:tc>
          <w:tcPr>
            <w:tcW w:w="2345" w:type="pct"/>
            <w:shd w:val="clear" w:color="auto" w:fill="D3EDFB"/>
            <w:vAlign w:val="center"/>
          </w:tcPr>
          <w:p w:rsidR="00486F91" w:rsidRPr="00094226" w:rsidRDefault="00486F91" w:rsidP="00481533">
            <w:pPr>
              <w:tabs>
                <w:tab w:val="left" w:pos="720"/>
              </w:tabs>
              <w:adjustRightInd w:val="0"/>
              <w:snapToGrid w:val="0"/>
              <w:outlineLvl w:val="0"/>
              <w:rPr>
                <w:sz w:val="18"/>
                <w:szCs w:val="18"/>
              </w:rPr>
            </w:pPr>
            <w:r w:rsidRPr="00094226">
              <w:rPr>
                <w:sz w:val="18"/>
                <w:szCs w:val="18"/>
              </w:rPr>
              <w:t>净出口对经济增长的贡献率（</w:t>
            </w:r>
            <w:r w:rsidRPr="00094226">
              <w:rPr>
                <w:sz w:val="18"/>
                <w:szCs w:val="18"/>
              </w:rPr>
              <w:t>%</w:t>
            </w:r>
            <w:r w:rsidRPr="00094226">
              <w:rPr>
                <w:sz w:val="18"/>
                <w:szCs w:val="18"/>
              </w:rPr>
              <w:t>）</w:t>
            </w:r>
          </w:p>
        </w:tc>
        <w:tc>
          <w:tcPr>
            <w:tcW w:w="859" w:type="pct"/>
            <w:shd w:val="clear" w:color="auto" w:fill="D3EDFB"/>
            <w:vAlign w:val="center"/>
          </w:tcPr>
          <w:p w:rsidR="00486F91" w:rsidRPr="00094226" w:rsidRDefault="00486F91" w:rsidP="00A56527">
            <w:pPr>
              <w:jc w:val="center"/>
              <w:rPr>
                <w:sz w:val="18"/>
                <w:szCs w:val="18"/>
              </w:rPr>
            </w:pPr>
            <w:r w:rsidRPr="00094226">
              <w:rPr>
                <w:rFonts w:hint="eastAsia"/>
                <w:sz w:val="18"/>
                <w:szCs w:val="18"/>
              </w:rPr>
              <w:t>6.6</w:t>
            </w:r>
            <w:r w:rsidR="008F116A">
              <w:rPr>
                <w:rFonts w:hint="eastAsia"/>
                <w:sz w:val="18"/>
                <w:szCs w:val="18"/>
              </w:rPr>
              <w:t>0</w:t>
            </w:r>
          </w:p>
        </w:tc>
        <w:tc>
          <w:tcPr>
            <w:tcW w:w="973" w:type="pct"/>
            <w:shd w:val="clear" w:color="auto" w:fill="D3EDFB"/>
            <w:vAlign w:val="center"/>
          </w:tcPr>
          <w:p w:rsidR="00486F91" w:rsidRPr="00094226" w:rsidRDefault="00486F91" w:rsidP="00A56527">
            <w:pPr>
              <w:widowControl/>
              <w:jc w:val="center"/>
              <w:rPr>
                <w:color w:val="000000"/>
                <w:kern w:val="0"/>
                <w:sz w:val="18"/>
                <w:szCs w:val="18"/>
              </w:rPr>
            </w:pPr>
            <w:r>
              <w:rPr>
                <w:rFonts w:hint="eastAsia"/>
                <w:color w:val="000000"/>
                <w:kern w:val="0"/>
                <w:sz w:val="18"/>
                <w:szCs w:val="18"/>
              </w:rPr>
              <w:t>6.5</w:t>
            </w:r>
            <w:r w:rsidR="008F116A">
              <w:rPr>
                <w:rFonts w:hint="eastAsia"/>
                <w:color w:val="000000"/>
                <w:kern w:val="0"/>
                <w:sz w:val="18"/>
                <w:szCs w:val="18"/>
              </w:rPr>
              <w:t>0</w:t>
            </w:r>
          </w:p>
        </w:tc>
        <w:tc>
          <w:tcPr>
            <w:tcW w:w="823" w:type="pct"/>
            <w:shd w:val="clear" w:color="auto" w:fill="D3EDFB"/>
            <w:vAlign w:val="center"/>
          </w:tcPr>
          <w:p w:rsidR="00486F91" w:rsidRPr="00094226" w:rsidRDefault="00486F91" w:rsidP="00A56527">
            <w:pPr>
              <w:widowControl/>
              <w:jc w:val="center"/>
              <w:rPr>
                <w:color w:val="000000"/>
                <w:kern w:val="0"/>
                <w:sz w:val="18"/>
                <w:szCs w:val="18"/>
              </w:rPr>
            </w:pPr>
            <w:r w:rsidRPr="00094226">
              <w:rPr>
                <w:color w:val="000000"/>
                <w:kern w:val="0"/>
                <w:sz w:val="18"/>
                <w:szCs w:val="18"/>
              </w:rPr>
              <w:t>—</w:t>
            </w:r>
          </w:p>
        </w:tc>
      </w:tr>
      <w:tr w:rsidR="00486F91" w:rsidRPr="00094226" w:rsidTr="003D1341">
        <w:trPr>
          <w:trHeight w:hRule="exact" w:val="284"/>
        </w:trPr>
        <w:tc>
          <w:tcPr>
            <w:tcW w:w="2345" w:type="pct"/>
            <w:shd w:val="clear" w:color="auto" w:fill="auto"/>
            <w:vAlign w:val="center"/>
          </w:tcPr>
          <w:p w:rsidR="00486F91" w:rsidRPr="00094226" w:rsidRDefault="00486F91" w:rsidP="00481533">
            <w:pPr>
              <w:tabs>
                <w:tab w:val="left" w:pos="720"/>
              </w:tabs>
              <w:adjustRightInd w:val="0"/>
              <w:snapToGrid w:val="0"/>
              <w:outlineLvl w:val="0"/>
              <w:rPr>
                <w:sz w:val="18"/>
                <w:szCs w:val="18"/>
              </w:rPr>
            </w:pPr>
            <w:r w:rsidRPr="00094226">
              <w:rPr>
                <w:sz w:val="18"/>
                <w:szCs w:val="18"/>
              </w:rPr>
              <w:t>人口数量（万人）</w:t>
            </w:r>
          </w:p>
        </w:tc>
        <w:tc>
          <w:tcPr>
            <w:tcW w:w="859" w:type="pct"/>
            <w:shd w:val="clear" w:color="auto" w:fill="auto"/>
            <w:vAlign w:val="center"/>
          </w:tcPr>
          <w:p w:rsidR="00486F91" w:rsidRPr="00094226" w:rsidRDefault="00486F91" w:rsidP="00A56527">
            <w:pPr>
              <w:jc w:val="center"/>
              <w:rPr>
                <w:sz w:val="18"/>
                <w:szCs w:val="18"/>
              </w:rPr>
            </w:pPr>
            <w:r w:rsidRPr="00094226">
              <w:rPr>
                <w:sz w:val="18"/>
                <w:szCs w:val="18"/>
              </w:rPr>
              <w:t>7,939.49</w:t>
            </w:r>
          </w:p>
        </w:tc>
        <w:tc>
          <w:tcPr>
            <w:tcW w:w="973" w:type="pct"/>
            <w:vAlign w:val="center"/>
          </w:tcPr>
          <w:p w:rsidR="00486F91" w:rsidRPr="00094226" w:rsidRDefault="00486F91" w:rsidP="00A56527">
            <w:pPr>
              <w:widowControl/>
              <w:jc w:val="center"/>
              <w:rPr>
                <w:color w:val="000000"/>
                <w:kern w:val="0"/>
                <w:sz w:val="18"/>
                <w:szCs w:val="18"/>
              </w:rPr>
            </w:pPr>
            <w:r>
              <w:rPr>
                <w:rFonts w:hint="eastAsia"/>
                <w:color w:val="000000"/>
                <w:kern w:val="0"/>
                <w:sz w:val="18"/>
                <w:szCs w:val="18"/>
              </w:rPr>
              <w:t>7,960.06</w:t>
            </w:r>
          </w:p>
        </w:tc>
        <w:tc>
          <w:tcPr>
            <w:tcW w:w="823" w:type="pct"/>
          </w:tcPr>
          <w:p w:rsidR="00486F91" w:rsidRPr="00094226" w:rsidRDefault="00486F91" w:rsidP="00A56527">
            <w:pPr>
              <w:widowControl/>
              <w:jc w:val="center"/>
              <w:rPr>
                <w:color w:val="000000"/>
                <w:kern w:val="0"/>
                <w:sz w:val="18"/>
                <w:szCs w:val="18"/>
              </w:rPr>
            </w:pPr>
            <w:r w:rsidRPr="00681082">
              <w:rPr>
                <w:rFonts w:hint="eastAsia"/>
                <w:color w:val="000000"/>
                <w:kern w:val="0"/>
                <w:sz w:val="18"/>
                <w:szCs w:val="18"/>
              </w:rPr>
              <w:t>7,976.30</w:t>
            </w:r>
          </w:p>
        </w:tc>
      </w:tr>
      <w:tr w:rsidR="00486F91" w:rsidRPr="00094226" w:rsidTr="003D1341">
        <w:trPr>
          <w:trHeight w:hRule="exact" w:val="284"/>
        </w:trPr>
        <w:tc>
          <w:tcPr>
            <w:tcW w:w="2345" w:type="pct"/>
            <w:shd w:val="clear" w:color="auto" w:fill="D3EDFB"/>
            <w:vAlign w:val="center"/>
          </w:tcPr>
          <w:p w:rsidR="00486F91" w:rsidRPr="00094226" w:rsidRDefault="00486F91" w:rsidP="00481533">
            <w:pPr>
              <w:tabs>
                <w:tab w:val="left" w:pos="720"/>
              </w:tabs>
              <w:adjustRightInd w:val="0"/>
              <w:snapToGrid w:val="0"/>
              <w:outlineLvl w:val="0"/>
              <w:rPr>
                <w:sz w:val="18"/>
                <w:szCs w:val="18"/>
              </w:rPr>
            </w:pPr>
            <w:r w:rsidRPr="00094226">
              <w:rPr>
                <w:sz w:val="18"/>
                <w:szCs w:val="18"/>
              </w:rPr>
              <w:t>人口老龄化率（</w:t>
            </w:r>
            <w:r w:rsidRPr="00094226">
              <w:rPr>
                <w:sz w:val="18"/>
                <w:szCs w:val="18"/>
              </w:rPr>
              <w:t>%</w:t>
            </w:r>
            <w:r w:rsidRPr="00094226">
              <w:rPr>
                <w:sz w:val="18"/>
                <w:szCs w:val="18"/>
              </w:rPr>
              <w:t>）</w:t>
            </w:r>
          </w:p>
        </w:tc>
        <w:tc>
          <w:tcPr>
            <w:tcW w:w="859" w:type="pct"/>
            <w:shd w:val="clear" w:color="auto" w:fill="D3EDFB"/>
            <w:vAlign w:val="center"/>
          </w:tcPr>
          <w:p w:rsidR="00486F91" w:rsidRPr="00094226" w:rsidRDefault="00486F91" w:rsidP="00A56527">
            <w:pPr>
              <w:jc w:val="center"/>
              <w:rPr>
                <w:sz w:val="18"/>
                <w:szCs w:val="18"/>
              </w:rPr>
            </w:pPr>
            <w:r w:rsidRPr="00094226">
              <w:rPr>
                <w:sz w:val="18"/>
                <w:szCs w:val="18"/>
              </w:rPr>
              <w:t>11.78</w:t>
            </w:r>
          </w:p>
        </w:tc>
        <w:tc>
          <w:tcPr>
            <w:tcW w:w="973" w:type="pct"/>
            <w:shd w:val="clear" w:color="auto" w:fill="D3EDFB"/>
            <w:vAlign w:val="center"/>
          </w:tcPr>
          <w:p w:rsidR="00486F91" w:rsidRPr="00094226" w:rsidRDefault="00486F91" w:rsidP="00A56527">
            <w:pPr>
              <w:widowControl/>
              <w:jc w:val="center"/>
              <w:rPr>
                <w:color w:val="000000"/>
                <w:kern w:val="0"/>
                <w:sz w:val="18"/>
                <w:szCs w:val="18"/>
              </w:rPr>
            </w:pPr>
            <w:r>
              <w:rPr>
                <w:rFonts w:hint="eastAsia"/>
                <w:color w:val="000000"/>
                <w:kern w:val="0"/>
                <w:sz w:val="18"/>
                <w:szCs w:val="18"/>
              </w:rPr>
              <w:t>12.13</w:t>
            </w:r>
          </w:p>
        </w:tc>
        <w:tc>
          <w:tcPr>
            <w:tcW w:w="823" w:type="pct"/>
            <w:shd w:val="clear" w:color="auto" w:fill="D3EDFB"/>
          </w:tcPr>
          <w:p w:rsidR="00486F91" w:rsidRDefault="00486F91" w:rsidP="00A56527">
            <w:pPr>
              <w:widowControl/>
              <w:jc w:val="center"/>
              <w:rPr>
                <w:color w:val="000000"/>
                <w:kern w:val="0"/>
                <w:sz w:val="18"/>
                <w:szCs w:val="18"/>
              </w:rPr>
            </w:pPr>
            <w:r w:rsidRPr="00681082">
              <w:rPr>
                <w:color w:val="000000"/>
                <w:kern w:val="0"/>
                <w:sz w:val="18"/>
                <w:szCs w:val="18"/>
              </w:rPr>
              <w:t>12.</w:t>
            </w:r>
            <w:r w:rsidRPr="00681082">
              <w:rPr>
                <w:rFonts w:hint="eastAsia"/>
                <w:color w:val="000000"/>
                <w:kern w:val="0"/>
                <w:sz w:val="18"/>
                <w:szCs w:val="18"/>
              </w:rPr>
              <w:t>53</w:t>
            </w:r>
          </w:p>
        </w:tc>
      </w:tr>
      <w:tr w:rsidR="00486F91" w:rsidRPr="00094226" w:rsidTr="003D1341">
        <w:trPr>
          <w:trHeight w:hRule="exact" w:val="284"/>
        </w:trPr>
        <w:tc>
          <w:tcPr>
            <w:tcW w:w="2345" w:type="pct"/>
            <w:shd w:val="clear" w:color="auto" w:fill="auto"/>
            <w:vAlign w:val="center"/>
          </w:tcPr>
          <w:p w:rsidR="00486F91" w:rsidRPr="00094226" w:rsidRDefault="00486F91" w:rsidP="00481533">
            <w:pPr>
              <w:tabs>
                <w:tab w:val="left" w:pos="720"/>
              </w:tabs>
              <w:adjustRightInd w:val="0"/>
              <w:snapToGrid w:val="0"/>
              <w:outlineLvl w:val="0"/>
              <w:rPr>
                <w:sz w:val="18"/>
                <w:szCs w:val="18"/>
              </w:rPr>
            </w:pPr>
            <w:r w:rsidRPr="00094226">
              <w:rPr>
                <w:sz w:val="18"/>
                <w:szCs w:val="18"/>
              </w:rPr>
              <w:t>国土面积（</w:t>
            </w:r>
            <w:proofErr w:type="gramStart"/>
            <w:r w:rsidRPr="00094226">
              <w:rPr>
                <w:sz w:val="18"/>
                <w:szCs w:val="18"/>
              </w:rPr>
              <w:t>万平方公里</w:t>
            </w:r>
            <w:proofErr w:type="gramEnd"/>
            <w:r w:rsidRPr="00094226">
              <w:rPr>
                <w:sz w:val="18"/>
                <w:szCs w:val="18"/>
              </w:rPr>
              <w:t>）</w:t>
            </w:r>
          </w:p>
        </w:tc>
        <w:tc>
          <w:tcPr>
            <w:tcW w:w="859" w:type="pct"/>
            <w:shd w:val="clear" w:color="auto" w:fill="auto"/>
            <w:vAlign w:val="center"/>
          </w:tcPr>
          <w:p w:rsidR="00486F91" w:rsidRPr="00094226" w:rsidRDefault="00486F91" w:rsidP="00A56527">
            <w:pPr>
              <w:jc w:val="center"/>
              <w:rPr>
                <w:sz w:val="18"/>
                <w:szCs w:val="18"/>
              </w:rPr>
            </w:pPr>
            <w:r w:rsidRPr="00094226">
              <w:rPr>
                <w:sz w:val="18"/>
                <w:szCs w:val="18"/>
              </w:rPr>
              <w:t>10.26</w:t>
            </w:r>
          </w:p>
        </w:tc>
        <w:tc>
          <w:tcPr>
            <w:tcW w:w="973" w:type="pct"/>
            <w:vAlign w:val="center"/>
          </w:tcPr>
          <w:p w:rsidR="00486F91" w:rsidRPr="00094226" w:rsidRDefault="00486F91" w:rsidP="00A56527">
            <w:pPr>
              <w:widowControl/>
              <w:jc w:val="center"/>
              <w:rPr>
                <w:color w:val="000000"/>
                <w:kern w:val="0"/>
                <w:sz w:val="18"/>
                <w:szCs w:val="18"/>
              </w:rPr>
            </w:pPr>
            <w:r w:rsidRPr="00094226">
              <w:rPr>
                <w:color w:val="000000"/>
                <w:kern w:val="0"/>
                <w:sz w:val="18"/>
                <w:szCs w:val="18"/>
              </w:rPr>
              <w:t>10.</w:t>
            </w:r>
            <w:r>
              <w:rPr>
                <w:rFonts w:hint="eastAsia"/>
                <w:color w:val="000000"/>
                <w:kern w:val="0"/>
                <w:sz w:val="18"/>
                <w:szCs w:val="18"/>
              </w:rPr>
              <w:t>72</w:t>
            </w:r>
          </w:p>
        </w:tc>
        <w:tc>
          <w:tcPr>
            <w:tcW w:w="823" w:type="pct"/>
          </w:tcPr>
          <w:p w:rsidR="00486F91" w:rsidRDefault="00486F91" w:rsidP="00A56527">
            <w:pPr>
              <w:widowControl/>
              <w:jc w:val="center"/>
              <w:rPr>
                <w:color w:val="000000"/>
                <w:kern w:val="0"/>
                <w:sz w:val="18"/>
                <w:szCs w:val="18"/>
              </w:rPr>
            </w:pPr>
            <w:r w:rsidRPr="003F0170">
              <w:rPr>
                <w:color w:val="000000"/>
                <w:kern w:val="0"/>
                <w:sz w:val="18"/>
                <w:szCs w:val="18"/>
              </w:rPr>
              <w:t>10.72</w:t>
            </w:r>
          </w:p>
        </w:tc>
      </w:tr>
      <w:tr w:rsidR="00486F91" w:rsidRPr="00094226" w:rsidTr="003D1341">
        <w:trPr>
          <w:trHeight w:hRule="exact" w:val="284"/>
        </w:trPr>
        <w:tc>
          <w:tcPr>
            <w:tcW w:w="2345" w:type="pct"/>
            <w:shd w:val="clear" w:color="auto" w:fill="D3EDFB"/>
            <w:vAlign w:val="center"/>
          </w:tcPr>
          <w:p w:rsidR="00486F91" w:rsidRPr="00094226" w:rsidRDefault="00486F91" w:rsidP="00481533">
            <w:pPr>
              <w:tabs>
                <w:tab w:val="left" w:pos="720"/>
              </w:tabs>
              <w:adjustRightInd w:val="0"/>
              <w:snapToGrid w:val="0"/>
              <w:outlineLvl w:val="0"/>
              <w:rPr>
                <w:sz w:val="18"/>
                <w:szCs w:val="18"/>
              </w:rPr>
            </w:pPr>
            <w:r w:rsidRPr="00094226">
              <w:rPr>
                <w:sz w:val="18"/>
                <w:szCs w:val="18"/>
              </w:rPr>
              <w:t>城镇居民人均可支配收入（元）</w:t>
            </w:r>
          </w:p>
        </w:tc>
        <w:tc>
          <w:tcPr>
            <w:tcW w:w="859" w:type="pct"/>
            <w:shd w:val="clear" w:color="auto" w:fill="D3EDFB"/>
            <w:vAlign w:val="center"/>
          </w:tcPr>
          <w:p w:rsidR="00486F91" w:rsidRPr="00094226" w:rsidRDefault="00486F91" w:rsidP="00A56527">
            <w:pPr>
              <w:jc w:val="center"/>
              <w:rPr>
                <w:sz w:val="18"/>
                <w:szCs w:val="18"/>
              </w:rPr>
            </w:pPr>
            <w:r w:rsidRPr="00094226">
              <w:rPr>
                <w:sz w:val="18"/>
                <w:szCs w:val="18"/>
              </w:rPr>
              <w:t>32,538</w:t>
            </w:r>
          </w:p>
        </w:tc>
        <w:tc>
          <w:tcPr>
            <w:tcW w:w="973" w:type="pct"/>
            <w:shd w:val="clear" w:color="auto" w:fill="D3EDFB"/>
            <w:vAlign w:val="center"/>
          </w:tcPr>
          <w:p w:rsidR="00486F91" w:rsidRPr="00094226" w:rsidRDefault="00486F91" w:rsidP="00A56527">
            <w:pPr>
              <w:widowControl/>
              <w:jc w:val="center"/>
              <w:rPr>
                <w:color w:val="000000"/>
                <w:kern w:val="0"/>
                <w:sz w:val="18"/>
                <w:szCs w:val="18"/>
              </w:rPr>
            </w:pPr>
            <w:r w:rsidRPr="00094226">
              <w:rPr>
                <w:color w:val="000000"/>
                <w:kern w:val="0"/>
                <w:sz w:val="18"/>
                <w:szCs w:val="18"/>
              </w:rPr>
              <w:t>34,346</w:t>
            </w:r>
          </w:p>
        </w:tc>
        <w:tc>
          <w:tcPr>
            <w:tcW w:w="823" w:type="pct"/>
            <w:shd w:val="clear" w:color="auto" w:fill="D3EDFB"/>
          </w:tcPr>
          <w:p w:rsidR="00486F91" w:rsidRPr="00094226" w:rsidRDefault="00486F91" w:rsidP="00A56527">
            <w:pPr>
              <w:widowControl/>
              <w:jc w:val="center"/>
              <w:rPr>
                <w:color w:val="000000"/>
                <w:kern w:val="0"/>
                <w:sz w:val="18"/>
                <w:szCs w:val="18"/>
              </w:rPr>
            </w:pPr>
            <w:r w:rsidRPr="007A00EB">
              <w:rPr>
                <w:color w:val="000000"/>
                <w:kern w:val="0"/>
                <w:sz w:val="18"/>
                <w:szCs w:val="18"/>
              </w:rPr>
              <w:t>37</w:t>
            </w:r>
            <w:r>
              <w:rPr>
                <w:rFonts w:hint="eastAsia"/>
                <w:color w:val="000000"/>
                <w:kern w:val="0"/>
                <w:sz w:val="18"/>
                <w:szCs w:val="18"/>
              </w:rPr>
              <w:t>,</w:t>
            </w:r>
            <w:r w:rsidRPr="007A00EB">
              <w:rPr>
                <w:color w:val="000000"/>
                <w:kern w:val="0"/>
                <w:sz w:val="18"/>
                <w:szCs w:val="18"/>
              </w:rPr>
              <w:t>173</w:t>
            </w:r>
          </w:p>
        </w:tc>
      </w:tr>
      <w:tr w:rsidR="00486F91" w:rsidRPr="00094226" w:rsidTr="003D1341">
        <w:trPr>
          <w:trHeight w:hRule="exact" w:val="284"/>
        </w:trPr>
        <w:tc>
          <w:tcPr>
            <w:tcW w:w="2345" w:type="pct"/>
            <w:shd w:val="clear" w:color="auto" w:fill="auto"/>
            <w:vAlign w:val="center"/>
          </w:tcPr>
          <w:p w:rsidR="00486F91" w:rsidRPr="00094226" w:rsidRDefault="00486F91" w:rsidP="00481533">
            <w:pPr>
              <w:tabs>
                <w:tab w:val="left" w:pos="720"/>
              </w:tabs>
              <w:adjustRightInd w:val="0"/>
              <w:snapToGrid w:val="0"/>
              <w:outlineLvl w:val="0"/>
              <w:rPr>
                <w:sz w:val="18"/>
                <w:szCs w:val="18"/>
              </w:rPr>
            </w:pPr>
            <w:r w:rsidRPr="00094226">
              <w:rPr>
                <w:sz w:val="18"/>
                <w:szCs w:val="18"/>
              </w:rPr>
              <w:t>农村居民人均纯收入（元）</w:t>
            </w:r>
          </w:p>
        </w:tc>
        <w:tc>
          <w:tcPr>
            <w:tcW w:w="859" w:type="pct"/>
            <w:shd w:val="clear" w:color="auto" w:fill="auto"/>
            <w:vAlign w:val="center"/>
          </w:tcPr>
          <w:p w:rsidR="00486F91" w:rsidRPr="00094226" w:rsidRDefault="00486F91" w:rsidP="00A56527">
            <w:pPr>
              <w:jc w:val="center"/>
              <w:rPr>
                <w:sz w:val="18"/>
                <w:szCs w:val="18"/>
              </w:rPr>
            </w:pPr>
            <w:r w:rsidRPr="00094226">
              <w:rPr>
                <w:sz w:val="18"/>
                <w:szCs w:val="18"/>
              </w:rPr>
              <w:t>13,598</w:t>
            </w:r>
          </w:p>
        </w:tc>
        <w:tc>
          <w:tcPr>
            <w:tcW w:w="973" w:type="pct"/>
            <w:vAlign w:val="center"/>
          </w:tcPr>
          <w:p w:rsidR="00486F91" w:rsidRPr="00094226" w:rsidRDefault="00486F91" w:rsidP="00A56527">
            <w:pPr>
              <w:widowControl/>
              <w:jc w:val="center"/>
              <w:rPr>
                <w:color w:val="000000"/>
                <w:kern w:val="0"/>
                <w:sz w:val="18"/>
                <w:szCs w:val="18"/>
              </w:rPr>
            </w:pPr>
            <w:r w:rsidRPr="00094226">
              <w:rPr>
                <w:color w:val="000000"/>
                <w:kern w:val="0"/>
                <w:sz w:val="18"/>
                <w:szCs w:val="18"/>
              </w:rPr>
              <w:t>14,958</w:t>
            </w:r>
          </w:p>
        </w:tc>
        <w:tc>
          <w:tcPr>
            <w:tcW w:w="823" w:type="pct"/>
          </w:tcPr>
          <w:p w:rsidR="00486F91" w:rsidRPr="00094226" w:rsidRDefault="00486F91" w:rsidP="00A56527">
            <w:pPr>
              <w:widowControl/>
              <w:jc w:val="center"/>
              <w:rPr>
                <w:color w:val="000000"/>
                <w:kern w:val="0"/>
                <w:sz w:val="18"/>
                <w:szCs w:val="18"/>
              </w:rPr>
            </w:pPr>
            <w:r w:rsidRPr="007A00EB">
              <w:rPr>
                <w:color w:val="000000"/>
                <w:kern w:val="0"/>
                <w:sz w:val="18"/>
                <w:szCs w:val="18"/>
              </w:rPr>
              <w:t>16</w:t>
            </w:r>
            <w:r>
              <w:rPr>
                <w:rFonts w:hint="eastAsia"/>
                <w:color w:val="000000"/>
                <w:kern w:val="0"/>
                <w:sz w:val="18"/>
                <w:szCs w:val="18"/>
              </w:rPr>
              <w:t>,</w:t>
            </w:r>
            <w:r w:rsidRPr="007A00EB">
              <w:rPr>
                <w:color w:val="000000"/>
                <w:kern w:val="0"/>
                <w:sz w:val="18"/>
                <w:szCs w:val="18"/>
              </w:rPr>
              <w:t>257</w:t>
            </w:r>
          </w:p>
        </w:tc>
      </w:tr>
      <w:tr w:rsidR="00486F91" w:rsidRPr="00094226" w:rsidTr="003D1341">
        <w:trPr>
          <w:trHeight w:hRule="exact" w:val="284"/>
        </w:trPr>
        <w:tc>
          <w:tcPr>
            <w:tcW w:w="2345" w:type="pct"/>
            <w:shd w:val="clear" w:color="auto" w:fill="D3EDFB"/>
            <w:vAlign w:val="center"/>
          </w:tcPr>
          <w:p w:rsidR="00486F91" w:rsidRPr="00094226" w:rsidRDefault="00486F91" w:rsidP="00481533">
            <w:pPr>
              <w:tabs>
                <w:tab w:val="left" w:pos="720"/>
              </w:tabs>
              <w:adjustRightInd w:val="0"/>
              <w:snapToGrid w:val="0"/>
              <w:outlineLvl w:val="0"/>
              <w:rPr>
                <w:sz w:val="18"/>
                <w:szCs w:val="18"/>
              </w:rPr>
            </w:pPr>
            <w:r w:rsidRPr="00094226">
              <w:rPr>
                <w:sz w:val="18"/>
                <w:szCs w:val="18"/>
              </w:rPr>
              <w:t>全省政府综合财力（亿元）</w:t>
            </w:r>
          </w:p>
        </w:tc>
        <w:tc>
          <w:tcPr>
            <w:tcW w:w="859" w:type="pct"/>
            <w:shd w:val="clear" w:color="auto" w:fill="D3EDFB"/>
            <w:vAlign w:val="center"/>
          </w:tcPr>
          <w:p w:rsidR="00486F91" w:rsidRPr="00094226" w:rsidRDefault="00486F91" w:rsidP="00A56527">
            <w:pPr>
              <w:jc w:val="center"/>
              <w:rPr>
                <w:sz w:val="18"/>
                <w:szCs w:val="18"/>
              </w:rPr>
            </w:pPr>
            <w:r w:rsidRPr="00094226">
              <w:rPr>
                <w:sz w:val="18"/>
                <w:szCs w:val="18"/>
              </w:rPr>
              <w:t>13,608.83</w:t>
            </w:r>
          </w:p>
        </w:tc>
        <w:tc>
          <w:tcPr>
            <w:tcW w:w="973" w:type="pct"/>
            <w:shd w:val="clear" w:color="auto" w:fill="D3EDFB"/>
            <w:vAlign w:val="center"/>
          </w:tcPr>
          <w:p w:rsidR="00486F91" w:rsidRPr="00207716" w:rsidRDefault="00486F91" w:rsidP="00A56527">
            <w:pPr>
              <w:widowControl/>
              <w:jc w:val="center"/>
              <w:rPr>
                <w:color w:val="000000"/>
                <w:kern w:val="0"/>
                <w:sz w:val="18"/>
                <w:szCs w:val="18"/>
              </w:rPr>
            </w:pPr>
            <w:r w:rsidRPr="00207716">
              <w:rPr>
                <w:kern w:val="0"/>
                <w:sz w:val="18"/>
                <w:szCs w:val="18"/>
              </w:rPr>
              <w:t>15,126.56</w:t>
            </w:r>
          </w:p>
        </w:tc>
        <w:tc>
          <w:tcPr>
            <w:tcW w:w="823" w:type="pct"/>
            <w:shd w:val="clear" w:color="auto" w:fill="D3EDFB"/>
          </w:tcPr>
          <w:p w:rsidR="00486F91" w:rsidRPr="00094226" w:rsidRDefault="00486F91" w:rsidP="00A56527">
            <w:pPr>
              <w:widowControl/>
              <w:jc w:val="center"/>
              <w:rPr>
                <w:color w:val="000000"/>
                <w:kern w:val="0"/>
                <w:sz w:val="18"/>
                <w:szCs w:val="18"/>
              </w:rPr>
            </w:pPr>
            <w:r w:rsidRPr="007C03D5">
              <w:rPr>
                <w:kern w:val="0"/>
                <w:sz w:val="18"/>
                <w:szCs w:val="18"/>
              </w:rPr>
              <w:t>15,427.27</w:t>
            </w:r>
          </w:p>
        </w:tc>
      </w:tr>
      <w:tr w:rsidR="00486F91" w:rsidRPr="00094226" w:rsidTr="003D1341">
        <w:trPr>
          <w:trHeight w:hRule="exact" w:val="284"/>
        </w:trPr>
        <w:tc>
          <w:tcPr>
            <w:tcW w:w="2345" w:type="pct"/>
            <w:shd w:val="clear" w:color="auto" w:fill="FFFFFF"/>
            <w:vAlign w:val="center"/>
          </w:tcPr>
          <w:p w:rsidR="00486F91" w:rsidRPr="00094226" w:rsidRDefault="00486F91" w:rsidP="00481533">
            <w:pPr>
              <w:tabs>
                <w:tab w:val="left" w:pos="720"/>
              </w:tabs>
              <w:adjustRightInd w:val="0"/>
              <w:snapToGrid w:val="0"/>
              <w:outlineLvl w:val="0"/>
              <w:rPr>
                <w:sz w:val="18"/>
                <w:szCs w:val="18"/>
              </w:rPr>
            </w:pPr>
            <w:r w:rsidRPr="00094226">
              <w:rPr>
                <w:sz w:val="18"/>
                <w:szCs w:val="18"/>
              </w:rPr>
              <w:t>其中：省本级政府综合财力（亿元）</w:t>
            </w:r>
          </w:p>
        </w:tc>
        <w:tc>
          <w:tcPr>
            <w:tcW w:w="859" w:type="pct"/>
            <w:shd w:val="clear" w:color="auto" w:fill="FFFFFF"/>
            <w:vAlign w:val="center"/>
          </w:tcPr>
          <w:p w:rsidR="00486F91" w:rsidRPr="00094226" w:rsidRDefault="00486F91" w:rsidP="00A56527">
            <w:pPr>
              <w:jc w:val="center"/>
              <w:rPr>
                <w:sz w:val="18"/>
                <w:szCs w:val="18"/>
              </w:rPr>
            </w:pPr>
            <w:r w:rsidRPr="00094226">
              <w:rPr>
                <w:sz w:val="18"/>
                <w:szCs w:val="18"/>
              </w:rPr>
              <w:t>1,125.93</w:t>
            </w:r>
          </w:p>
        </w:tc>
        <w:tc>
          <w:tcPr>
            <w:tcW w:w="973" w:type="pct"/>
            <w:shd w:val="clear" w:color="auto" w:fill="FFFFFF"/>
            <w:vAlign w:val="center"/>
          </w:tcPr>
          <w:p w:rsidR="00486F91" w:rsidRPr="00207716" w:rsidRDefault="00486F91" w:rsidP="00A56527">
            <w:pPr>
              <w:widowControl/>
              <w:jc w:val="center"/>
              <w:rPr>
                <w:kern w:val="0"/>
                <w:sz w:val="18"/>
                <w:szCs w:val="18"/>
              </w:rPr>
            </w:pPr>
            <w:r w:rsidRPr="00207716">
              <w:rPr>
                <w:kern w:val="0"/>
                <w:sz w:val="18"/>
                <w:szCs w:val="18"/>
              </w:rPr>
              <w:t>1,223.01</w:t>
            </w:r>
          </w:p>
        </w:tc>
        <w:tc>
          <w:tcPr>
            <w:tcW w:w="823" w:type="pct"/>
            <w:shd w:val="clear" w:color="auto" w:fill="FFFFFF"/>
          </w:tcPr>
          <w:p w:rsidR="00486F91" w:rsidRDefault="00486F91" w:rsidP="00A56527">
            <w:pPr>
              <w:widowControl/>
              <w:jc w:val="center"/>
              <w:rPr>
                <w:kern w:val="0"/>
                <w:sz w:val="18"/>
                <w:szCs w:val="18"/>
              </w:rPr>
            </w:pPr>
            <w:r w:rsidRPr="002628A2">
              <w:rPr>
                <w:kern w:val="0"/>
                <w:sz w:val="18"/>
                <w:szCs w:val="18"/>
              </w:rPr>
              <w:t>1,380.06</w:t>
            </w:r>
          </w:p>
        </w:tc>
      </w:tr>
      <w:tr w:rsidR="006B0350" w:rsidRPr="00094226" w:rsidTr="008F116A">
        <w:trPr>
          <w:trHeight w:hRule="exact" w:val="284"/>
        </w:trPr>
        <w:tc>
          <w:tcPr>
            <w:tcW w:w="2345" w:type="pct"/>
            <w:shd w:val="clear" w:color="auto" w:fill="D3EDFB"/>
            <w:vAlign w:val="center"/>
          </w:tcPr>
          <w:p w:rsidR="006B0350" w:rsidRPr="00094226" w:rsidRDefault="006B0350" w:rsidP="00481533">
            <w:pPr>
              <w:tabs>
                <w:tab w:val="left" w:pos="720"/>
              </w:tabs>
              <w:adjustRightInd w:val="0"/>
              <w:snapToGrid w:val="0"/>
              <w:outlineLvl w:val="0"/>
              <w:rPr>
                <w:sz w:val="18"/>
                <w:szCs w:val="18"/>
              </w:rPr>
            </w:pPr>
            <w:r w:rsidRPr="00094226">
              <w:rPr>
                <w:sz w:val="18"/>
                <w:szCs w:val="18"/>
              </w:rPr>
              <w:t>全省人均政府综合财力（元）</w:t>
            </w:r>
          </w:p>
        </w:tc>
        <w:tc>
          <w:tcPr>
            <w:tcW w:w="859" w:type="pct"/>
            <w:shd w:val="clear" w:color="auto" w:fill="D3EDFB"/>
            <w:vAlign w:val="center"/>
          </w:tcPr>
          <w:p w:rsidR="006B0350" w:rsidRPr="00094226" w:rsidRDefault="006B0350" w:rsidP="00A56527">
            <w:pPr>
              <w:jc w:val="center"/>
              <w:rPr>
                <w:sz w:val="18"/>
                <w:szCs w:val="18"/>
              </w:rPr>
            </w:pPr>
            <w:r w:rsidRPr="00094226">
              <w:rPr>
                <w:sz w:val="18"/>
                <w:szCs w:val="18"/>
              </w:rPr>
              <w:t>17,140.68</w:t>
            </w:r>
          </w:p>
        </w:tc>
        <w:tc>
          <w:tcPr>
            <w:tcW w:w="973" w:type="pct"/>
            <w:shd w:val="clear" w:color="auto" w:fill="D3EDFB"/>
          </w:tcPr>
          <w:p w:rsidR="006B0350" w:rsidRPr="00207716" w:rsidRDefault="006B0350" w:rsidP="00A56527">
            <w:pPr>
              <w:widowControl/>
              <w:jc w:val="center"/>
              <w:rPr>
                <w:kern w:val="0"/>
                <w:sz w:val="18"/>
                <w:szCs w:val="18"/>
              </w:rPr>
            </w:pPr>
            <w:r w:rsidRPr="00207716">
              <w:rPr>
                <w:sz w:val="18"/>
                <w:szCs w:val="18"/>
              </w:rPr>
              <w:t>19,003.08</w:t>
            </w:r>
          </w:p>
        </w:tc>
        <w:tc>
          <w:tcPr>
            <w:tcW w:w="823" w:type="pct"/>
            <w:shd w:val="clear" w:color="auto" w:fill="D3EDFB"/>
          </w:tcPr>
          <w:p w:rsidR="006B0350" w:rsidRPr="007C03D5" w:rsidRDefault="006B0350" w:rsidP="00A56527">
            <w:pPr>
              <w:widowControl/>
              <w:jc w:val="center"/>
              <w:rPr>
                <w:kern w:val="0"/>
                <w:sz w:val="18"/>
                <w:szCs w:val="18"/>
              </w:rPr>
            </w:pPr>
            <w:r w:rsidRPr="002628A2">
              <w:rPr>
                <w:sz w:val="18"/>
                <w:szCs w:val="18"/>
              </w:rPr>
              <w:t>19,341.39</w:t>
            </w:r>
          </w:p>
        </w:tc>
      </w:tr>
      <w:tr w:rsidR="006B0350" w:rsidRPr="00094226" w:rsidTr="008F116A">
        <w:trPr>
          <w:trHeight w:hRule="exact" w:val="284"/>
        </w:trPr>
        <w:tc>
          <w:tcPr>
            <w:tcW w:w="2345" w:type="pct"/>
            <w:shd w:val="clear" w:color="auto" w:fill="auto"/>
            <w:vAlign w:val="center"/>
          </w:tcPr>
          <w:p w:rsidR="006B0350" w:rsidRPr="00094226" w:rsidRDefault="006B0350" w:rsidP="00481533">
            <w:pPr>
              <w:tabs>
                <w:tab w:val="left" w:pos="720"/>
              </w:tabs>
              <w:adjustRightInd w:val="0"/>
              <w:snapToGrid w:val="0"/>
              <w:outlineLvl w:val="0"/>
              <w:rPr>
                <w:sz w:val="18"/>
                <w:szCs w:val="18"/>
              </w:rPr>
            </w:pPr>
            <w:r w:rsidRPr="00094226">
              <w:rPr>
                <w:sz w:val="18"/>
                <w:szCs w:val="18"/>
              </w:rPr>
              <w:t>全省一般公共预算收入（亿元）</w:t>
            </w:r>
          </w:p>
        </w:tc>
        <w:tc>
          <w:tcPr>
            <w:tcW w:w="859" w:type="pct"/>
            <w:shd w:val="clear" w:color="auto" w:fill="auto"/>
            <w:vAlign w:val="center"/>
          </w:tcPr>
          <w:p w:rsidR="006B0350" w:rsidRPr="00094226" w:rsidRDefault="006B0350" w:rsidP="00A56527">
            <w:pPr>
              <w:jc w:val="center"/>
              <w:rPr>
                <w:sz w:val="18"/>
                <w:szCs w:val="18"/>
              </w:rPr>
            </w:pPr>
            <w:r w:rsidRPr="00094226">
              <w:rPr>
                <w:sz w:val="18"/>
                <w:szCs w:val="18"/>
              </w:rPr>
              <w:t>6,568.46</w:t>
            </w:r>
          </w:p>
        </w:tc>
        <w:tc>
          <w:tcPr>
            <w:tcW w:w="973" w:type="pct"/>
            <w:vAlign w:val="center"/>
          </w:tcPr>
          <w:p w:rsidR="006B0350" w:rsidRPr="00207716" w:rsidRDefault="006B0350" w:rsidP="00A56527">
            <w:pPr>
              <w:widowControl/>
              <w:jc w:val="center"/>
              <w:rPr>
                <w:kern w:val="0"/>
                <w:sz w:val="18"/>
                <w:szCs w:val="18"/>
              </w:rPr>
            </w:pPr>
            <w:r w:rsidRPr="00207716">
              <w:rPr>
                <w:kern w:val="0"/>
                <w:sz w:val="18"/>
                <w:szCs w:val="18"/>
              </w:rPr>
              <w:t>7,233.14</w:t>
            </w:r>
          </w:p>
        </w:tc>
        <w:tc>
          <w:tcPr>
            <w:tcW w:w="823" w:type="pct"/>
          </w:tcPr>
          <w:p w:rsidR="006B0350" w:rsidRPr="000C290F" w:rsidRDefault="006B0350" w:rsidP="00A56527">
            <w:pPr>
              <w:widowControl/>
              <w:jc w:val="center"/>
              <w:rPr>
                <w:kern w:val="0"/>
                <w:sz w:val="18"/>
                <w:szCs w:val="18"/>
              </w:rPr>
            </w:pPr>
            <w:r>
              <w:rPr>
                <w:rFonts w:hint="eastAsia"/>
                <w:kern w:val="0"/>
                <w:sz w:val="18"/>
                <w:szCs w:val="18"/>
              </w:rPr>
              <w:t>8,028.59</w:t>
            </w:r>
          </w:p>
        </w:tc>
      </w:tr>
      <w:tr w:rsidR="006B0350" w:rsidRPr="00094226" w:rsidTr="003D1341">
        <w:trPr>
          <w:trHeight w:hRule="exact" w:val="284"/>
        </w:trPr>
        <w:tc>
          <w:tcPr>
            <w:tcW w:w="2345" w:type="pct"/>
            <w:shd w:val="clear" w:color="auto" w:fill="D3EDFB"/>
            <w:vAlign w:val="center"/>
          </w:tcPr>
          <w:p w:rsidR="006B0350" w:rsidRPr="00094226" w:rsidRDefault="006B0350" w:rsidP="00481533">
            <w:pPr>
              <w:tabs>
                <w:tab w:val="left" w:pos="720"/>
              </w:tabs>
              <w:adjustRightInd w:val="0"/>
              <w:snapToGrid w:val="0"/>
              <w:outlineLvl w:val="0"/>
              <w:rPr>
                <w:sz w:val="18"/>
                <w:szCs w:val="18"/>
              </w:rPr>
            </w:pPr>
            <w:r w:rsidRPr="00094226">
              <w:rPr>
                <w:sz w:val="18"/>
                <w:szCs w:val="18"/>
              </w:rPr>
              <w:t>其中：税收收入（亿元）</w:t>
            </w:r>
          </w:p>
        </w:tc>
        <w:tc>
          <w:tcPr>
            <w:tcW w:w="859" w:type="pct"/>
            <w:shd w:val="clear" w:color="auto" w:fill="D3EDFB"/>
            <w:vAlign w:val="center"/>
          </w:tcPr>
          <w:p w:rsidR="006B0350" w:rsidRPr="00094226" w:rsidRDefault="006B0350" w:rsidP="00A56527">
            <w:pPr>
              <w:jc w:val="center"/>
              <w:rPr>
                <w:sz w:val="18"/>
                <w:szCs w:val="18"/>
              </w:rPr>
            </w:pPr>
            <w:r w:rsidRPr="00094226">
              <w:rPr>
                <w:sz w:val="18"/>
                <w:szCs w:val="18"/>
              </w:rPr>
              <w:t>5,419.49</w:t>
            </w:r>
          </w:p>
        </w:tc>
        <w:tc>
          <w:tcPr>
            <w:tcW w:w="973" w:type="pct"/>
            <w:shd w:val="clear" w:color="auto" w:fill="D3EDFB"/>
            <w:vAlign w:val="center"/>
          </w:tcPr>
          <w:p w:rsidR="006B0350" w:rsidRPr="00207716" w:rsidRDefault="006B0350" w:rsidP="00A56527">
            <w:pPr>
              <w:widowControl/>
              <w:jc w:val="center"/>
              <w:rPr>
                <w:sz w:val="18"/>
                <w:szCs w:val="18"/>
              </w:rPr>
            </w:pPr>
            <w:r w:rsidRPr="00207716">
              <w:rPr>
                <w:color w:val="000000"/>
                <w:kern w:val="0"/>
                <w:sz w:val="18"/>
                <w:szCs w:val="18"/>
              </w:rPr>
              <w:t>6,006.05</w:t>
            </w:r>
          </w:p>
        </w:tc>
        <w:tc>
          <w:tcPr>
            <w:tcW w:w="823" w:type="pct"/>
            <w:shd w:val="clear" w:color="auto" w:fill="D3EDFB"/>
          </w:tcPr>
          <w:p w:rsidR="006B0350" w:rsidRPr="002628A2" w:rsidRDefault="006B0350" w:rsidP="00A56527">
            <w:pPr>
              <w:widowControl/>
              <w:jc w:val="center"/>
              <w:rPr>
                <w:sz w:val="18"/>
                <w:szCs w:val="18"/>
              </w:rPr>
            </w:pPr>
            <w:r w:rsidRPr="007C03D5">
              <w:rPr>
                <w:color w:val="000000"/>
                <w:kern w:val="0"/>
                <w:sz w:val="18"/>
                <w:szCs w:val="18"/>
              </w:rPr>
              <w:t>6</w:t>
            </w:r>
            <w:r>
              <w:rPr>
                <w:rFonts w:hint="eastAsia"/>
                <w:color w:val="000000"/>
                <w:kern w:val="0"/>
                <w:sz w:val="18"/>
                <w:szCs w:val="18"/>
              </w:rPr>
              <w:t>,</w:t>
            </w:r>
            <w:r w:rsidRPr="007C03D5">
              <w:rPr>
                <w:color w:val="000000"/>
                <w:kern w:val="0"/>
                <w:sz w:val="18"/>
                <w:szCs w:val="18"/>
              </w:rPr>
              <w:t>610.12</w:t>
            </w:r>
          </w:p>
        </w:tc>
      </w:tr>
      <w:tr w:rsidR="006B0350" w:rsidRPr="00094226" w:rsidTr="003D1341">
        <w:trPr>
          <w:trHeight w:hRule="exact" w:val="284"/>
        </w:trPr>
        <w:tc>
          <w:tcPr>
            <w:tcW w:w="2345" w:type="pct"/>
            <w:shd w:val="clear" w:color="auto" w:fill="auto"/>
            <w:vAlign w:val="center"/>
          </w:tcPr>
          <w:p w:rsidR="006B0350" w:rsidRPr="00094226" w:rsidRDefault="006B0350" w:rsidP="00481533">
            <w:pPr>
              <w:tabs>
                <w:tab w:val="left" w:pos="720"/>
              </w:tabs>
              <w:adjustRightInd w:val="0"/>
              <w:snapToGrid w:val="0"/>
              <w:outlineLvl w:val="0"/>
              <w:rPr>
                <w:sz w:val="18"/>
                <w:szCs w:val="18"/>
              </w:rPr>
            </w:pPr>
            <w:r w:rsidRPr="00094226">
              <w:rPr>
                <w:sz w:val="18"/>
                <w:szCs w:val="18"/>
              </w:rPr>
              <w:t>全省一般公共预算收入增长率（</w:t>
            </w:r>
            <w:r w:rsidRPr="00094226">
              <w:rPr>
                <w:sz w:val="18"/>
                <w:szCs w:val="18"/>
              </w:rPr>
              <w:t>%</w:t>
            </w:r>
            <w:r w:rsidRPr="00094226">
              <w:rPr>
                <w:sz w:val="18"/>
                <w:szCs w:val="18"/>
              </w:rPr>
              <w:t>）</w:t>
            </w:r>
          </w:p>
        </w:tc>
        <w:tc>
          <w:tcPr>
            <w:tcW w:w="859" w:type="pct"/>
            <w:shd w:val="clear" w:color="auto" w:fill="auto"/>
            <w:vAlign w:val="center"/>
          </w:tcPr>
          <w:p w:rsidR="006B0350" w:rsidRPr="00094226" w:rsidRDefault="006B0350" w:rsidP="00A56527">
            <w:pPr>
              <w:jc w:val="center"/>
              <w:rPr>
                <w:sz w:val="18"/>
                <w:szCs w:val="18"/>
              </w:rPr>
            </w:pPr>
            <w:r w:rsidRPr="00094226">
              <w:rPr>
                <w:sz w:val="18"/>
                <w:szCs w:val="18"/>
              </w:rPr>
              <w:t>12.08</w:t>
            </w:r>
          </w:p>
        </w:tc>
        <w:tc>
          <w:tcPr>
            <w:tcW w:w="973" w:type="pct"/>
            <w:vAlign w:val="center"/>
          </w:tcPr>
          <w:p w:rsidR="006B0350" w:rsidRPr="00207716" w:rsidRDefault="006B0350" w:rsidP="00A56527">
            <w:pPr>
              <w:widowControl/>
              <w:jc w:val="center"/>
              <w:rPr>
                <w:kern w:val="0"/>
                <w:sz w:val="18"/>
                <w:szCs w:val="18"/>
              </w:rPr>
            </w:pPr>
            <w:r w:rsidRPr="00207716">
              <w:rPr>
                <w:color w:val="000000"/>
                <w:kern w:val="0"/>
                <w:sz w:val="18"/>
                <w:szCs w:val="18"/>
              </w:rPr>
              <w:t>10.</w:t>
            </w:r>
            <w:r w:rsidRPr="00207716">
              <w:rPr>
                <w:rFonts w:hint="eastAsia"/>
                <w:color w:val="000000"/>
                <w:kern w:val="0"/>
                <w:sz w:val="18"/>
                <w:szCs w:val="18"/>
              </w:rPr>
              <w:t>83</w:t>
            </w:r>
          </w:p>
        </w:tc>
        <w:tc>
          <w:tcPr>
            <w:tcW w:w="823" w:type="pct"/>
          </w:tcPr>
          <w:p w:rsidR="006B0350" w:rsidRPr="000C290F" w:rsidRDefault="006B0350" w:rsidP="00A56527">
            <w:pPr>
              <w:widowControl/>
              <w:jc w:val="center"/>
              <w:rPr>
                <w:kern w:val="0"/>
                <w:sz w:val="18"/>
                <w:szCs w:val="18"/>
              </w:rPr>
            </w:pPr>
            <w:r>
              <w:rPr>
                <w:rFonts w:hint="eastAsia"/>
                <w:color w:val="000000"/>
                <w:kern w:val="0"/>
                <w:sz w:val="18"/>
                <w:szCs w:val="18"/>
              </w:rPr>
              <w:t>11.00</w:t>
            </w:r>
          </w:p>
        </w:tc>
      </w:tr>
      <w:tr w:rsidR="006B0350" w:rsidRPr="00094226" w:rsidTr="003D1341">
        <w:trPr>
          <w:trHeight w:hRule="exact" w:val="284"/>
        </w:trPr>
        <w:tc>
          <w:tcPr>
            <w:tcW w:w="2345" w:type="pct"/>
            <w:shd w:val="clear" w:color="auto" w:fill="D3EDFB"/>
            <w:vAlign w:val="center"/>
          </w:tcPr>
          <w:p w:rsidR="006B0350" w:rsidRPr="00094226" w:rsidRDefault="006B0350" w:rsidP="00481533">
            <w:pPr>
              <w:tabs>
                <w:tab w:val="left" w:pos="720"/>
              </w:tabs>
              <w:adjustRightInd w:val="0"/>
              <w:snapToGrid w:val="0"/>
              <w:outlineLvl w:val="0"/>
              <w:rPr>
                <w:sz w:val="18"/>
                <w:szCs w:val="18"/>
              </w:rPr>
            </w:pPr>
            <w:r w:rsidRPr="00094226">
              <w:rPr>
                <w:sz w:val="18"/>
                <w:szCs w:val="18"/>
              </w:rPr>
              <w:t>省本级一般公共预算收入（亿元）</w:t>
            </w:r>
          </w:p>
        </w:tc>
        <w:tc>
          <w:tcPr>
            <w:tcW w:w="859" w:type="pct"/>
            <w:shd w:val="clear" w:color="auto" w:fill="D3EDFB"/>
            <w:vAlign w:val="center"/>
          </w:tcPr>
          <w:p w:rsidR="006B0350" w:rsidRPr="00094226" w:rsidRDefault="006B0350" w:rsidP="00A56527">
            <w:pPr>
              <w:jc w:val="center"/>
              <w:rPr>
                <w:sz w:val="18"/>
                <w:szCs w:val="18"/>
              </w:rPr>
            </w:pPr>
            <w:r w:rsidRPr="00094226">
              <w:rPr>
                <w:sz w:val="18"/>
                <w:szCs w:val="18"/>
              </w:rPr>
              <w:t>555.95</w:t>
            </w:r>
          </w:p>
        </w:tc>
        <w:tc>
          <w:tcPr>
            <w:tcW w:w="973" w:type="pct"/>
            <w:shd w:val="clear" w:color="auto" w:fill="D3EDFB"/>
            <w:vAlign w:val="center"/>
          </w:tcPr>
          <w:p w:rsidR="006B0350" w:rsidRPr="00207716" w:rsidRDefault="006B0350" w:rsidP="00A56527">
            <w:pPr>
              <w:widowControl/>
              <w:jc w:val="center"/>
              <w:rPr>
                <w:color w:val="000000"/>
                <w:kern w:val="0"/>
                <w:sz w:val="18"/>
                <w:szCs w:val="18"/>
              </w:rPr>
            </w:pPr>
            <w:r w:rsidRPr="00207716">
              <w:rPr>
                <w:rFonts w:hint="eastAsia"/>
                <w:color w:val="000000"/>
                <w:kern w:val="0"/>
                <w:sz w:val="18"/>
                <w:szCs w:val="18"/>
              </w:rPr>
              <w:t>612.30</w:t>
            </w:r>
          </w:p>
        </w:tc>
        <w:tc>
          <w:tcPr>
            <w:tcW w:w="823" w:type="pct"/>
            <w:shd w:val="clear" w:color="auto" w:fill="D3EDFB"/>
          </w:tcPr>
          <w:p w:rsidR="006B0350" w:rsidRPr="00094226" w:rsidRDefault="006B0350" w:rsidP="00A56527">
            <w:pPr>
              <w:widowControl/>
              <w:jc w:val="center"/>
              <w:rPr>
                <w:color w:val="000000"/>
                <w:kern w:val="0"/>
                <w:sz w:val="18"/>
                <w:szCs w:val="18"/>
              </w:rPr>
            </w:pPr>
            <w:r w:rsidRPr="007C03D5">
              <w:rPr>
                <w:color w:val="000000"/>
                <w:kern w:val="0"/>
                <w:sz w:val="18"/>
                <w:szCs w:val="18"/>
              </w:rPr>
              <w:t>683.81</w:t>
            </w:r>
          </w:p>
        </w:tc>
      </w:tr>
      <w:tr w:rsidR="006B0350" w:rsidRPr="00094226" w:rsidTr="003D1341">
        <w:trPr>
          <w:trHeight w:hRule="exact" w:val="284"/>
        </w:trPr>
        <w:tc>
          <w:tcPr>
            <w:tcW w:w="2345" w:type="pct"/>
            <w:shd w:val="clear" w:color="auto" w:fill="auto"/>
            <w:vAlign w:val="center"/>
          </w:tcPr>
          <w:p w:rsidR="006B0350" w:rsidRPr="00094226" w:rsidRDefault="006B0350" w:rsidP="00481533">
            <w:pPr>
              <w:tabs>
                <w:tab w:val="left" w:pos="720"/>
              </w:tabs>
              <w:adjustRightInd w:val="0"/>
              <w:snapToGrid w:val="0"/>
              <w:outlineLvl w:val="0"/>
              <w:rPr>
                <w:sz w:val="18"/>
                <w:szCs w:val="18"/>
              </w:rPr>
            </w:pPr>
            <w:r w:rsidRPr="00094226">
              <w:rPr>
                <w:sz w:val="18"/>
                <w:szCs w:val="18"/>
              </w:rPr>
              <w:t>全省政府性基金收入（亿元）</w:t>
            </w:r>
          </w:p>
        </w:tc>
        <w:tc>
          <w:tcPr>
            <w:tcW w:w="859" w:type="pct"/>
            <w:shd w:val="clear" w:color="auto" w:fill="auto"/>
            <w:vAlign w:val="center"/>
          </w:tcPr>
          <w:p w:rsidR="006B0350" w:rsidRPr="00094226" w:rsidRDefault="006B0350" w:rsidP="00A56527">
            <w:pPr>
              <w:jc w:val="center"/>
              <w:rPr>
                <w:sz w:val="18"/>
                <w:szCs w:val="18"/>
              </w:rPr>
            </w:pPr>
            <w:r w:rsidRPr="00094226">
              <w:rPr>
                <w:sz w:val="18"/>
                <w:szCs w:val="18"/>
              </w:rPr>
              <w:t>5,018.10</w:t>
            </w:r>
          </w:p>
        </w:tc>
        <w:tc>
          <w:tcPr>
            <w:tcW w:w="973" w:type="pct"/>
            <w:vAlign w:val="center"/>
          </w:tcPr>
          <w:p w:rsidR="006B0350" w:rsidRPr="00207716" w:rsidRDefault="006B0350" w:rsidP="00A56527">
            <w:pPr>
              <w:widowControl/>
              <w:jc w:val="center"/>
              <w:rPr>
                <w:color w:val="000000"/>
                <w:kern w:val="0"/>
                <w:sz w:val="18"/>
                <w:szCs w:val="18"/>
              </w:rPr>
            </w:pPr>
            <w:r w:rsidRPr="00207716">
              <w:rPr>
                <w:rFonts w:hint="eastAsia"/>
                <w:color w:val="000000"/>
                <w:kern w:val="0"/>
                <w:sz w:val="18"/>
                <w:szCs w:val="18"/>
              </w:rPr>
              <w:t>5,416.86</w:t>
            </w:r>
          </w:p>
        </w:tc>
        <w:tc>
          <w:tcPr>
            <w:tcW w:w="823" w:type="pct"/>
          </w:tcPr>
          <w:p w:rsidR="006B0350" w:rsidRPr="00094226" w:rsidRDefault="006B0350" w:rsidP="00A56527">
            <w:pPr>
              <w:widowControl/>
              <w:jc w:val="center"/>
              <w:rPr>
                <w:color w:val="000000"/>
                <w:kern w:val="0"/>
                <w:sz w:val="18"/>
                <w:szCs w:val="18"/>
              </w:rPr>
            </w:pPr>
            <w:r w:rsidRPr="007B601B">
              <w:rPr>
                <w:color w:val="000000"/>
                <w:kern w:val="0"/>
                <w:sz w:val="18"/>
                <w:szCs w:val="18"/>
              </w:rPr>
              <w:t>4</w:t>
            </w:r>
            <w:r w:rsidRPr="007B601B">
              <w:rPr>
                <w:rFonts w:hint="eastAsia"/>
                <w:color w:val="000000"/>
                <w:kern w:val="0"/>
                <w:sz w:val="18"/>
                <w:szCs w:val="18"/>
              </w:rPr>
              <w:t>,</w:t>
            </w:r>
            <w:r w:rsidRPr="007B601B">
              <w:rPr>
                <w:color w:val="000000"/>
                <w:kern w:val="0"/>
                <w:sz w:val="18"/>
                <w:szCs w:val="18"/>
              </w:rPr>
              <w:t>618.08</w:t>
            </w:r>
          </w:p>
        </w:tc>
      </w:tr>
      <w:tr w:rsidR="006B0350" w:rsidRPr="00094226" w:rsidTr="003D1341">
        <w:trPr>
          <w:trHeight w:hRule="exact" w:val="284"/>
        </w:trPr>
        <w:tc>
          <w:tcPr>
            <w:tcW w:w="2345" w:type="pct"/>
            <w:shd w:val="clear" w:color="auto" w:fill="D3EDFB"/>
            <w:vAlign w:val="center"/>
          </w:tcPr>
          <w:p w:rsidR="006B0350" w:rsidRPr="00094226" w:rsidRDefault="006B0350" w:rsidP="00481533">
            <w:pPr>
              <w:tabs>
                <w:tab w:val="left" w:pos="720"/>
              </w:tabs>
              <w:adjustRightInd w:val="0"/>
              <w:snapToGrid w:val="0"/>
              <w:outlineLvl w:val="0"/>
              <w:rPr>
                <w:sz w:val="18"/>
                <w:szCs w:val="18"/>
              </w:rPr>
            </w:pPr>
            <w:r w:rsidRPr="00094226">
              <w:rPr>
                <w:sz w:val="18"/>
                <w:szCs w:val="18"/>
              </w:rPr>
              <w:t>其中：土地出让收入（亿元）</w:t>
            </w:r>
          </w:p>
        </w:tc>
        <w:tc>
          <w:tcPr>
            <w:tcW w:w="859" w:type="pct"/>
            <w:shd w:val="clear" w:color="auto" w:fill="D3EDFB"/>
            <w:vAlign w:val="center"/>
          </w:tcPr>
          <w:p w:rsidR="006B0350" w:rsidRPr="00094226" w:rsidRDefault="006B0350" w:rsidP="00A56527">
            <w:pPr>
              <w:jc w:val="center"/>
              <w:rPr>
                <w:sz w:val="18"/>
                <w:szCs w:val="18"/>
              </w:rPr>
            </w:pPr>
            <w:r w:rsidRPr="00094226">
              <w:rPr>
                <w:sz w:val="18"/>
                <w:szCs w:val="18"/>
              </w:rPr>
              <w:t>4,369.58</w:t>
            </w:r>
          </w:p>
        </w:tc>
        <w:tc>
          <w:tcPr>
            <w:tcW w:w="973" w:type="pct"/>
            <w:shd w:val="clear" w:color="auto" w:fill="D3EDFB"/>
            <w:vAlign w:val="center"/>
          </w:tcPr>
          <w:p w:rsidR="006B0350" w:rsidRPr="00207716" w:rsidRDefault="006B0350" w:rsidP="00A56527">
            <w:pPr>
              <w:widowControl/>
              <w:jc w:val="center"/>
              <w:rPr>
                <w:color w:val="000000"/>
                <w:kern w:val="0"/>
                <w:sz w:val="18"/>
                <w:szCs w:val="18"/>
              </w:rPr>
            </w:pPr>
            <w:r w:rsidRPr="00207716">
              <w:rPr>
                <w:rFonts w:hint="eastAsia"/>
                <w:color w:val="000000"/>
                <w:kern w:val="0"/>
                <w:sz w:val="18"/>
                <w:szCs w:val="18"/>
              </w:rPr>
              <w:t>4,687.40</w:t>
            </w:r>
          </w:p>
        </w:tc>
        <w:tc>
          <w:tcPr>
            <w:tcW w:w="823" w:type="pct"/>
            <w:shd w:val="clear" w:color="auto" w:fill="D3EDFB"/>
          </w:tcPr>
          <w:p w:rsidR="006B0350" w:rsidRDefault="006B0350" w:rsidP="00A56527">
            <w:pPr>
              <w:widowControl/>
              <w:jc w:val="center"/>
              <w:rPr>
                <w:color w:val="000000"/>
                <w:kern w:val="0"/>
                <w:sz w:val="18"/>
                <w:szCs w:val="18"/>
              </w:rPr>
            </w:pPr>
            <w:r w:rsidRPr="007B601B">
              <w:rPr>
                <w:color w:val="000000"/>
                <w:kern w:val="0"/>
                <w:sz w:val="18"/>
                <w:szCs w:val="18"/>
              </w:rPr>
              <w:t>4,031.90</w:t>
            </w:r>
          </w:p>
        </w:tc>
      </w:tr>
      <w:tr w:rsidR="006B0350" w:rsidRPr="00094226" w:rsidTr="003D1341">
        <w:trPr>
          <w:trHeight w:hRule="exact" w:val="284"/>
        </w:trPr>
        <w:tc>
          <w:tcPr>
            <w:tcW w:w="2345" w:type="pct"/>
            <w:shd w:val="clear" w:color="auto" w:fill="FFFFFF"/>
            <w:vAlign w:val="center"/>
          </w:tcPr>
          <w:p w:rsidR="006B0350" w:rsidRPr="00094226" w:rsidRDefault="006B0350" w:rsidP="00481533">
            <w:pPr>
              <w:tabs>
                <w:tab w:val="left" w:pos="720"/>
              </w:tabs>
              <w:adjustRightInd w:val="0"/>
              <w:snapToGrid w:val="0"/>
              <w:outlineLvl w:val="0"/>
              <w:rPr>
                <w:sz w:val="18"/>
                <w:szCs w:val="18"/>
              </w:rPr>
            </w:pPr>
            <w:r w:rsidRPr="00094226">
              <w:rPr>
                <w:sz w:val="18"/>
                <w:szCs w:val="18"/>
              </w:rPr>
              <w:t>全省政府性基金收入增长率（</w:t>
            </w:r>
            <w:r w:rsidRPr="00094226">
              <w:rPr>
                <w:sz w:val="18"/>
                <w:szCs w:val="18"/>
              </w:rPr>
              <w:t>%</w:t>
            </w:r>
            <w:r w:rsidRPr="00094226">
              <w:rPr>
                <w:sz w:val="18"/>
                <w:szCs w:val="18"/>
              </w:rPr>
              <w:t>）</w:t>
            </w:r>
          </w:p>
        </w:tc>
        <w:tc>
          <w:tcPr>
            <w:tcW w:w="859" w:type="pct"/>
            <w:shd w:val="clear" w:color="auto" w:fill="FFFFFF"/>
            <w:vAlign w:val="center"/>
          </w:tcPr>
          <w:p w:rsidR="006B0350" w:rsidRPr="00094226" w:rsidRDefault="006B0350" w:rsidP="00A56527">
            <w:pPr>
              <w:jc w:val="center"/>
              <w:rPr>
                <w:sz w:val="18"/>
                <w:szCs w:val="18"/>
              </w:rPr>
            </w:pPr>
            <w:r w:rsidRPr="00094226">
              <w:rPr>
                <w:sz w:val="18"/>
                <w:szCs w:val="18"/>
              </w:rPr>
              <w:t>38.91</w:t>
            </w:r>
          </w:p>
        </w:tc>
        <w:tc>
          <w:tcPr>
            <w:tcW w:w="973" w:type="pct"/>
            <w:shd w:val="clear" w:color="auto" w:fill="FFFFFF"/>
            <w:vAlign w:val="center"/>
          </w:tcPr>
          <w:p w:rsidR="006B0350" w:rsidRPr="00207716" w:rsidRDefault="006B0350" w:rsidP="00A56527">
            <w:pPr>
              <w:widowControl/>
              <w:jc w:val="center"/>
              <w:rPr>
                <w:color w:val="000000"/>
                <w:kern w:val="0"/>
                <w:sz w:val="18"/>
                <w:szCs w:val="18"/>
              </w:rPr>
            </w:pPr>
            <w:r w:rsidRPr="00207716">
              <w:rPr>
                <w:rFonts w:hint="eastAsia"/>
                <w:color w:val="000000"/>
                <w:kern w:val="0"/>
                <w:sz w:val="18"/>
                <w:szCs w:val="18"/>
              </w:rPr>
              <w:t>7.95</w:t>
            </w:r>
          </w:p>
        </w:tc>
        <w:tc>
          <w:tcPr>
            <w:tcW w:w="823" w:type="pct"/>
            <w:shd w:val="clear" w:color="auto" w:fill="FFFFFF"/>
          </w:tcPr>
          <w:p w:rsidR="006B0350" w:rsidRDefault="006B0350" w:rsidP="00A56527">
            <w:pPr>
              <w:widowControl/>
              <w:jc w:val="center"/>
              <w:rPr>
                <w:color w:val="000000"/>
                <w:kern w:val="0"/>
                <w:sz w:val="18"/>
                <w:szCs w:val="18"/>
              </w:rPr>
            </w:pPr>
            <w:r>
              <w:rPr>
                <w:rFonts w:hint="eastAsia"/>
                <w:color w:val="000000"/>
                <w:kern w:val="0"/>
                <w:sz w:val="18"/>
                <w:szCs w:val="18"/>
              </w:rPr>
              <w:t>-</w:t>
            </w:r>
            <w:r w:rsidRPr="007B601B">
              <w:rPr>
                <w:color w:val="000000"/>
                <w:kern w:val="0"/>
                <w:sz w:val="18"/>
                <w:szCs w:val="18"/>
              </w:rPr>
              <w:t>14.7</w:t>
            </w:r>
            <w:r>
              <w:rPr>
                <w:rFonts w:hint="eastAsia"/>
                <w:color w:val="000000"/>
                <w:kern w:val="0"/>
                <w:sz w:val="18"/>
                <w:szCs w:val="18"/>
              </w:rPr>
              <w:t>0</w:t>
            </w:r>
          </w:p>
        </w:tc>
      </w:tr>
      <w:tr w:rsidR="006B0350" w:rsidRPr="00094226" w:rsidTr="003D1341">
        <w:trPr>
          <w:trHeight w:hRule="exact" w:val="284"/>
        </w:trPr>
        <w:tc>
          <w:tcPr>
            <w:tcW w:w="2345" w:type="pct"/>
            <w:shd w:val="clear" w:color="auto" w:fill="D3EDFB"/>
            <w:vAlign w:val="center"/>
          </w:tcPr>
          <w:p w:rsidR="006B0350" w:rsidRPr="00094226" w:rsidRDefault="006B0350" w:rsidP="00481533">
            <w:pPr>
              <w:tabs>
                <w:tab w:val="left" w:pos="720"/>
              </w:tabs>
              <w:adjustRightInd w:val="0"/>
              <w:snapToGrid w:val="0"/>
              <w:outlineLvl w:val="0"/>
              <w:rPr>
                <w:sz w:val="18"/>
                <w:szCs w:val="18"/>
              </w:rPr>
            </w:pPr>
            <w:r w:rsidRPr="00094226">
              <w:rPr>
                <w:sz w:val="18"/>
                <w:szCs w:val="18"/>
              </w:rPr>
              <w:t>全省上级转移支付收入（亿元）</w:t>
            </w:r>
          </w:p>
        </w:tc>
        <w:tc>
          <w:tcPr>
            <w:tcW w:w="859" w:type="pct"/>
            <w:shd w:val="clear" w:color="auto" w:fill="D3EDFB"/>
            <w:vAlign w:val="center"/>
          </w:tcPr>
          <w:p w:rsidR="006B0350" w:rsidRPr="00094226" w:rsidRDefault="006B0350" w:rsidP="00A56527">
            <w:pPr>
              <w:jc w:val="center"/>
              <w:rPr>
                <w:sz w:val="18"/>
                <w:szCs w:val="18"/>
              </w:rPr>
            </w:pPr>
            <w:r w:rsidRPr="00094226">
              <w:rPr>
                <w:sz w:val="18"/>
                <w:szCs w:val="18"/>
              </w:rPr>
              <w:t>1,332.76</w:t>
            </w:r>
          </w:p>
        </w:tc>
        <w:tc>
          <w:tcPr>
            <w:tcW w:w="973" w:type="pct"/>
            <w:shd w:val="clear" w:color="auto" w:fill="D3EDFB"/>
            <w:vAlign w:val="center"/>
          </w:tcPr>
          <w:p w:rsidR="006B0350" w:rsidRPr="00207716" w:rsidRDefault="006B0350" w:rsidP="00A56527">
            <w:pPr>
              <w:widowControl/>
              <w:jc w:val="center"/>
              <w:rPr>
                <w:color w:val="000000"/>
                <w:kern w:val="0"/>
                <w:sz w:val="18"/>
                <w:szCs w:val="18"/>
              </w:rPr>
            </w:pPr>
            <w:r w:rsidRPr="00207716">
              <w:rPr>
                <w:color w:val="000000"/>
                <w:kern w:val="0"/>
                <w:sz w:val="18"/>
                <w:szCs w:val="18"/>
              </w:rPr>
              <w:t>1,</w:t>
            </w:r>
            <w:r w:rsidRPr="00207716">
              <w:rPr>
                <w:rFonts w:hint="eastAsia"/>
                <w:color w:val="000000"/>
                <w:kern w:val="0"/>
                <w:sz w:val="18"/>
                <w:szCs w:val="18"/>
              </w:rPr>
              <w:t>339.93</w:t>
            </w:r>
          </w:p>
        </w:tc>
        <w:tc>
          <w:tcPr>
            <w:tcW w:w="823" w:type="pct"/>
            <w:shd w:val="clear" w:color="auto" w:fill="D3EDFB"/>
          </w:tcPr>
          <w:p w:rsidR="006B0350" w:rsidRPr="00DC0CE6" w:rsidRDefault="006B0350" w:rsidP="00A56527">
            <w:pPr>
              <w:widowControl/>
              <w:jc w:val="center"/>
              <w:rPr>
                <w:color w:val="000000"/>
                <w:kern w:val="0"/>
                <w:sz w:val="18"/>
                <w:szCs w:val="18"/>
              </w:rPr>
            </w:pPr>
            <w:r>
              <w:rPr>
                <w:rFonts w:hint="eastAsia"/>
                <w:color w:val="000000"/>
                <w:kern w:val="0"/>
                <w:sz w:val="18"/>
                <w:szCs w:val="18"/>
              </w:rPr>
              <w:t>1,425.58</w:t>
            </w:r>
          </w:p>
        </w:tc>
      </w:tr>
      <w:tr w:rsidR="006B0350" w:rsidRPr="00094226" w:rsidTr="008F116A">
        <w:trPr>
          <w:trHeight w:hRule="exact" w:val="284"/>
        </w:trPr>
        <w:tc>
          <w:tcPr>
            <w:tcW w:w="2345" w:type="pct"/>
            <w:shd w:val="clear" w:color="auto" w:fill="auto"/>
            <w:vAlign w:val="center"/>
          </w:tcPr>
          <w:p w:rsidR="006B0350" w:rsidRPr="00094226" w:rsidRDefault="006B0350" w:rsidP="00481533">
            <w:pPr>
              <w:tabs>
                <w:tab w:val="left" w:pos="720"/>
              </w:tabs>
              <w:adjustRightInd w:val="0"/>
              <w:snapToGrid w:val="0"/>
              <w:outlineLvl w:val="0"/>
              <w:rPr>
                <w:sz w:val="18"/>
                <w:szCs w:val="18"/>
              </w:rPr>
            </w:pPr>
            <w:r w:rsidRPr="00094226">
              <w:rPr>
                <w:sz w:val="18"/>
                <w:szCs w:val="18"/>
              </w:rPr>
              <w:t>全省政府债务（亿元）</w:t>
            </w:r>
          </w:p>
        </w:tc>
        <w:tc>
          <w:tcPr>
            <w:tcW w:w="859" w:type="pct"/>
            <w:shd w:val="clear" w:color="auto" w:fill="auto"/>
            <w:vAlign w:val="center"/>
          </w:tcPr>
          <w:p w:rsidR="006B0350" w:rsidRPr="00094226" w:rsidRDefault="006B0350" w:rsidP="00A56527">
            <w:pPr>
              <w:jc w:val="center"/>
              <w:rPr>
                <w:sz w:val="18"/>
                <w:szCs w:val="18"/>
              </w:rPr>
            </w:pPr>
            <w:r w:rsidRPr="009A53A8">
              <w:rPr>
                <w:color w:val="000000"/>
                <w:kern w:val="0"/>
                <w:sz w:val="18"/>
                <w:szCs w:val="18"/>
              </w:rPr>
              <w:t>—</w:t>
            </w:r>
          </w:p>
        </w:tc>
        <w:tc>
          <w:tcPr>
            <w:tcW w:w="973" w:type="pct"/>
            <w:vAlign w:val="center"/>
          </w:tcPr>
          <w:p w:rsidR="006B0350" w:rsidRPr="00207716" w:rsidRDefault="006B0350" w:rsidP="00A56527">
            <w:pPr>
              <w:widowControl/>
              <w:jc w:val="center"/>
              <w:rPr>
                <w:color w:val="000000"/>
                <w:kern w:val="0"/>
                <w:sz w:val="18"/>
                <w:szCs w:val="18"/>
              </w:rPr>
            </w:pPr>
            <w:r w:rsidRPr="00207716">
              <w:rPr>
                <w:rFonts w:hint="eastAsia"/>
                <w:color w:val="000000"/>
                <w:kern w:val="0"/>
                <w:sz w:val="18"/>
                <w:szCs w:val="18"/>
              </w:rPr>
              <w:t>10,643.30</w:t>
            </w:r>
          </w:p>
        </w:tc>
        <w:tc>
          <w:tcPr>
            <w:tcW w:w="823" w:type="pct"/>
            <w:vAlign w:val="center"/>
          </w:tcPr>
          <w:p w:rsidR="006B0350" w:rsidRDefault="006B0350" w:rsidP="00A56527">
            <w:pPr>
              <w:widowControl/>
              <w:jc w:val="center"/>
              <w:rPr>
                <w:color w:val="000000"/>
                <w:kern w:val="0"/>
                <w:sz w:val="18"/>
                <w:szCs w:val="18"/>
              </w:rPr>
            </w:pPr>
            <w:r>
              <w:rPr>
                <w:rFonts w:hint="eastAsia"/>
                <w:color w:val="000000"/>
                <w:kern w:val="0"/>
                <w:sz w:val="18"/>
                <w:szCs w:val="18"/>
              </w:rPr>
              <w:t>10,556.26</w:t>
            </w:r>
          </w:p>
        </w:tc>
      </w:tr>
      <w:tr w:rsidR="006B0350" w:rsidRPr="00094226" w:rsidTr="008F116A">
        <w:trPr>
          <w:trHeight w:hRule="exact" w:val="284"/>
        </w:trPr>
        <w:tc>
          <w:tcPr>
            <w:tcW w:w="2345" w:type="pct"/>
            <w:shd w:val="clear" w:color="auto" w:fill="D3EDFB"/>
            <w:vAlign w:val="center"/>
          </w:tcPr>
          <w:p w:rsidR="006B0350" w:rsidRPr="00094226" w:rsidRDefault="006B0350" w:rsidP="00481533">
            <w:pPr>
              <w:tabs>
                <w:tab w:val="left" w:pos="720"/>
              </w:tabs>
              <w:adjustRightInd w:val="0"/>
              <w:snapToGrid w:val="0"/>
              <w:outlineLvl w:val="0"/>
              <w:rPr>
                <w:sz w:val="18"/>
                <w:szCs w:val="18"/>
              </w:rPr>
            </w:pPr>
            <w:r w:rsidRPr="009A53A8">
              <w:rPr>
                <w:sz w:val="18"/>
                <w:szCs w:val="18"/>
              </w:rPr>
              <w:t>其中：</w:t>
            </w:r>
            <w:r>
              <w:rPr>
                <w:rFonts w:hint="eastAsia"/>
                <w:sz w:val="18"/>
                <w:szCs w:val="18"/>
              </w:rPr>
              <w:t>一般</w:t>
            </w:r>
            <w:r w:rsidRPr="009A53A8">
              <w:rPr>
                <w:sz w:val="18"/>
                <w:szCs w:val="18"/>
              </w:rPr>
              <w:t>债务（亿元）</w:t>
            </w:r>
          </w:p>
        </w:tc>
        <w:tc>
          <w:tcPr>
            <w:tcW w:w="859" w:type="pct"/>
            <w:shd w:val="clear" w:color="auto" w:fill="D3EDFB"/>
            <w:vAlign w:val="center"/>
          </w:tcPr>
          <w:p w:rsidR="006B0350" w:rsidRPr="00094226" w:rsidRDefault="006B0350" w:rsidP="00A56527">
            <w:pPr>
              <w:jc w:val="center"/>
              <w:rPr>
                <w:sz w:val="18"/>
                <w:szCs w:val="18"/>
              </w:rPr>
            </w:pPr>
            <w:r w:rsidRPr="009A53A8">
              <w:rPr>
                <w:color w:val="000000"/>
                <w:kern w:val="0"/>
                <w:sz w:val="18"/>
                <w:szCs w:val="18"/>
              </w:rPr>
              <w:t>—</w:t>
            </w:r>
          </w:p>
        </w:tc>
        <w:tc>
          <w:tcPr>
            <w:tcW w:w="973" w:type="pct"/>
            <w:shd w:val="clear" w:color="auto" w:fill="D3EDFB"/>
          </w:tcPr>
          <w:p w:rsidR="006B0350" w:rsidRPr="00207716" w:rsidRDefault="006B0350" w:rsidP="00A56527">
            <w:pPr>
              <w:widowControl/>
              <w:jc w:val="center"/>
              <w:rPr>
                <w:color w:val="000000"/>
                <w:kern w:val="0"/>
                <w:sz w:val="18"/>
                <w:szCs w:val="18"/>
              </w:rPr>
            </w:pPr>
            <w:r w:rsidRPr="00207716">
              <w:rPr>
                <w:rFonts w:hint="eastAsia"/>
                <w:sz w:val="18"/>
                <w:szCs w:val="18"/>
              </w:rPr>
              <w:t>6,264.24</w:t>
            </w:r>
          </w:p>
        </w:tc>
        <w:tc>
          <w:tcPr>
            <w:tcW w:w="823" w:type="pct"/>
            <w:shd w:val="clear" w:color="auto" w:fill="D3EDFB"/>
          </w:tcPr>
          <w:p w:rsidR="006B0350" w:rsidRPr="00094226" w:rsidRDefault="006B0350" w:rsidP="00A56527">
            <w:pPr>
              <w:widowControl/>
              <w:jc w:val="center"/>
              <w:rPr>
                <w:color w:val="000000"/>
                <w:kern w:val="0"/>
                <w:sz w:val="18"/>
                <w:szCs w:val="18"/>
              </w:rPr>
            </w:pPr>
            <w:r w:rsidRPr="00945D64">
              <w:rPr>
                <w:rFonts w:hint="eastAsia"/>
                <w:sz w:val="18"/>
                <w:szCs w:val="18"/>
              </w:rPr>
              <w:t>6</w:t>
            </w:r>
            <w:r>
              <w:rPr>
                <w:rFonts w:hint="eastAsia"/>
                <w:sz w:val="18"/>
                <w:szCs w:val="18"/>
              </w:rPr>
              <w:t>,</w:t>
            </w:r>
            <w:r w:rsidRPr="00945D64">
              <w:rPr>
                <w:rFonts w:hint="eastAsia"/>
                <w:sz w:val="18"/>
                <w:szCs w:val="18"/>
              </w:rPr>
              <w:t>249.23</w:t>
            </w:r>
          </w:p>
        </w:tc>
      </w:tr>
      <w:tr w:rsidR="006B0350" w:rsidRPr="00094226" w:rsidTr="003D1341">
        <w:trPr>
          <w:trHeight w:hRule="exact" w:val="284"/>
        </w:trPr>
        <w:tc>
          <w:tcPr>
            <w:tcW w:w="2345" w:type="pct"/>
            <w:shd w:val="clear" w:color="auto" w:fill="auto"/>
            <w:vAlign w:val="center"/>
          </w:tcPr>
          <w:p w:rsidR="006B0350" w:rsidRPr="00094226" w:rsidRDefault="006B0350" w:rsidP="001271C2">
            <w:pPr>
              <w:tabs>
                <w:tab w:val="left" w:pos="720"/>
              </w:tabs>
              <w:adjustRightInd w:val="0"/>
              <w:snapToGrid w:val="0"/>
              <w:ind w:firstLineChars="300" w:firstLine="540"/>
              <w:outlineLvl w:val="0"/>
              <w:rPr>
                <w:sz w:val="18"/>
                <w:szCs w:val="18"/>
              </w:rPr>
            </w:pPr>
            <w:r>
              <w:rPr>
                <w:rFonts w:hint="eastAsia"/>
                <w:sz w:val="18"/>
                <w:szCs w:val="18"/>
              </w:rPr>
              <w:t>专项</w:t>
            </w:r>
            <w:r w:rsidRPr="009A53A8">
              <w:rPr>
                <w:sz w:val="18"/>
                <w:szCs w:val="18"/>
              </w:rPr>
              <w:t>债务（亿元）</w:t>
            </w:r>
          </w:p>
        </w:tc>
        <w:tc>
          <w:tcPr>
            <w:tcW w:w="859" w:type="pct"/>
            <w:shd w:val="clear" w:color="auto" w:fill="auto"/>
            <w:vAlign w:val="center"/>
          </w:tcPr>
          <w:p w:rsidR="006B0350" w:rsidRPr="009A53A8" w:rsidRDefault="006B0350" w:rsidP="00A56527">
            <w:pPr>
              <w:jc w:val="center"/>
              <w:rPr>
                <w:sz w:val="18"/>
                <w:szCs w:val="18"/>
              </w:rPr>
            </w:pPr>
            <w:r w:rsidRPr="009A53A8">
              <w:rPr>
                <w:color w:val="000000"/>
                <w:kern w:val="0"/>
                <w:sz w:val="18"/>
                <w:szCs w:val="18"/>
              </w:rPr>
              <w:t>—</w:t>
            </w:r>
          </w:p>
        </w:tc>
        <w:tc>
          <w:tcPr>
            <w:tcW w:w="973" w:type="pct"/>
          </w:tcPr>
          <w:p w:rsidR="006B0350" w:rsidRPr="00207716" w:rsidRDefault="006B0350" w:rsidP="00A56527">
            <w:pPr>
              <w:widowControl/>
              <w:jc w:val="center"/>
              <w:rPr>
                <w:color w:val="000000"/>
                <w:kern w:val="0"/>
                <w:sz w:val="18"/>
                <w:szCs w:val="18"/>
              </w:rPr>
            </w:pPr>
            <w:r w:rsidRPr="00207716">
              <w:rPr>
                <w:rFonts w:hint="eastAsia"/>
                <w:sz w:val="18"/>
                <w:szCs w:val="18"/>
              </w:rPr>
              <w:t>4,379.06</w:t>
            </w:r>
          </w:p>
        </w:tc>
        <w:tc>
          <w:tcPr>
            <w:tcW w:w="823" w:type="pct"/>
          </w:tcPr>
          <w:p w:rsidR="006B0350" w:rsidRPr="00094226" w:rsidRDefault="006B0350" w:rsidP="00A56527">
            <w:pPr>
              <w:widowControl/>
              <w:jc w:val="center"/>
              <w:rPr>
                <w:color w:val="000000"/>
                <w:kern w:val="0"/>
                <w:sz w:val="18"/>
                <w:szCs w:val="18"/>
              </w:rPr>
            </w:pPr>
            <w:r w:rsidRPr="00945D64">
              <w:rPr>
                <w:rFonts w:hint="eastAsia"/>
                <w:sz w:val="18"/>
                <w:szCs w:val="18"/>
              </w:rPr>
              <w:t>4</w:t>
            </w:r>
            <w:r>
              <w:rPr>
                <w:rFonts w:hint="eastAsia"/>
                <w:sz w:val="18"/>
                <w:szCs w:val="18"/>
              </w:rPr>
              <w:t>,</w:t>
            </w:r>
            <w:r w:rsidRPr="00945D64">
              <w:rPr>
                <w:rFonts w:hint="eastAsia"/>
                <w:sz w:val="18"/>
                <w:szCs w:val="18"/>
              </w:rPr>
              <w:t>307.03</w:t>
            </w:r>
          </w:p>
        </w:tc>
      </w:tr>
      <w:tr w:rsidR="006B0350" w:rsidRPr="00094226" w:rsidTr="008F116A">
        <w:trPr>
          <w:trHeight w:hRule="exact" w:val="284"/>
        </w:trPr>
        <w:tc>
          <w:tcPr>
            <w:tcW w:w="2345" w:type="pct"/>
            <w:shd w:val="clear" w:color="auto" w:fill="D3EDFB"/>
            <w:vAlign w:val="center"/>
          </w:tcPr>
          <w:p w:rsidR="006B0350" w:rsidRPr="009A53A8" w:rsidRDefault="006B0350" w:rsidP="001271C2">
            <w:pPr>
              <w:tabs>
                <w:tab w:val="left" w:pos="720"/>
              </w:tabs>
              <w:adjustRightInd w:val="0"/>
              <w:snapToGrid w:val="0"/>
              <w:outlineLvl w:val="0"/>
              <w:rPr>
                <w:sz w:val="18"/>
                <w:szCs w:val="18"/>
              </w:rPr>
            </w:pPr>
            <w:r>
              <w:rPr>
                <w:rFonts w:hint="eastAsia"/>
                <w:sz w:val="18"/>
                <w:szCs w:val="18"/>
              </w:rPr>
              <w:t>全省或有</w:t>
            </w:r>
            <w:r w:rsidRPr="009A53A8">
              <w:rPr>
                <w:sz w:val="18"/>
                <w:szCs w:val="18"/>
              </w:rPr>
              <w:t>债务（亿元）</w:t>
            </w:r>
          </w:p>
        </w:tc>
        <w:tc>
          <w:tcPr>
            <w:tcW w:w="859" w:type="pct"/>
            <w:shd w:val="clear" w:color="auto" w:fill="D3EDFB"/>
            <w:vAlign w:val="center"/>
          </w:tcPr>
          <w:p w:rsidR="006B0350" w:rsidRPr="009A53A8" w:rsidRDefault="006B0350" w:rsidP="00A56527">
            <w:pPr>
              <w:jc w:val="center"/>
              <w:rPr>
                <w:sz w:val="18"/>
                <w:szCs w:val="18"/>
              </w:rPr>
            </w:pPr>
            <w:r w:rsidRPr="009A53A8">
              <w:rPr>
                <w:color w:val="000000"/>
                <w:kern w:val="0"/>
                <w:sz w:val="18"/>
                <w:szCs w:val="18"/>
              </w:rPr>
              <w:t>—</w:t>
            </w:r>
          </w:p>
        </w:tc>
        <w:tc>
          <w:tcPr>
            <w:tcW w:w="973" w:type="pct"/>
            <w:shd w:val="clear" w:color="auto" w:fill="D3EDFB"/>
            <w:vAlign w:val="center"/>
          </w:tcPr>
          <w:p w:rsidR="006B0350" w:rsidRPr="00207716" w:rsidRDefault="006B0350" w:rsidP="00A56527">
            <w:pPr>
              <w:widowControl/>
              <w:jc w:val="center"/>
              <w:rPr>
                <w:color w:val="000000"/>
                <w:kern w:val="0"/>
                <w:sz w:val="18"/>
                <w:szCs w:val="18"/>
              </w:rPr>
            </w:pPr>
            <w:r w:rsidRPr="00207716">
              <w:rPr>
                <w:rFonts w:hint="eastAsia"/>
                <w:sz w:val="18"/>
                <w:szCs w:val="18"/>
              </w:rPr>
              <w:t>7,093.66</w:t>
            </w:r>
          </w:p>
        </w:tc>
        <w:tc>
          <w:tcPr>
            <w:tcW w:w="823" w:type="pct"/>
            <w:shd w:val="clear" w:color="auto" w:fill="D3EDFB"/>
            <w:vAlign w:val="center"/>
          </w:tcPr>
          <w:p w:rsidR="006B0350" w:rsidRPr="00094226" w:rsidRDefault="006B0350" w:rsidP="00A56527">
            <w:pPr>
              <w:widowControl/>
              <w:jc w:val="center"/>
              <w:rPr>
                <w:color w:val="000000"/>
                <w:kern w:val="0"/>
                <w:sz w:val="18"/>
                <w:szCs w:val="18"/>
              </w:rPr>
            </w:pPr>
            <w:r w:rsidRPr="00945D64">
              <w:rPr>
                <w:rFonts w:hint="eastAsia"/>
                <w:sz w:val="18"/>
                <w:szCs w:val="18"/>
              </w:rPr>
              <w:t>7</w:t>
            </w:r>
            <w:r>
              <w:rPr>
                <w:rFonts w:hint="eastAsia"/>
                <w:sz w:val="18"/>
                <w:szCs w:val="18"/>
              </w:rPr>
              <w:t>,</w:t>
            </w:r>
            <w:r w:rsidRPr="00945D64">
              <w:rPr>
                <w:rFonts w:hint="eastAsia"/>
                <w:sz w:val="18"/>
                <w:szCs w:val="18"/>
              </w:rPr>
              <w:t>569.42</w:t>
            </w:r>
          </w:p>
        </w:tc>
      </w:tr>
      <w:tr w:rsidR="006B0350" w:rsidRPr="00094226" w:rsidTr="008F116A">
        <w:trPr>
          <w:trHeight w:hRule="exact" w:val="284"/>
        </w:trPr>
        <w:tc>
          <w:tcPr>
            <w:tcW w:w="2345" w:type="pct"/>
            <w:shd w:val="clear" w:color="auto" w:fill="auto"/>
            <w:vAlign w:val="center"/>
          </w:tcPr>
          <w:p w:rsidR="006B0350" w:rsidRPr="009A53A8" w:rsidRDefault="006B0350" w:rsidP="003D1341">
            <w:pPr>
              <w:tabs>
                <w:tab w:val="left" w:pos="720"/>
              </w:tabs>
              <w:adjustRightInd w:val="0"/>
              <w:snapToGrid w:val="0"/>
              <w:outlineLvl w:val="0"/>
              <w:rPr>
                <w:sz w:val="18"/>
                <w:szCs w:val="18"/>
              </w:rPr>
            </w:pPr>
            <w:r w:rsidRPr="009A53A8">
              <w:rPr>
                <w:sz w:val="18"/>
                <w:szCs w:val="18"/>
              </w:rPr>
              <w:t>全省</w:t>
            </w:r>
            <w:r w:rsidRPr="009A53A8">
              <w:rPr>
                <w:rFonts w:hint="eastAsia"/>
                <w:sz w:val="18"/>
                <w:szCs w:val="18"/>
              </w:rPr>
              <w:t>一般公共预算财力</w:t>
            </w:r>
            <w:r w:rsidRPr="009A53A8">
              <w:rPr>
                <w:sz w:val="18"/>
                <w:szCs w:val="18"/>
              </w:rPr>
              <w:t>/</w:t>
            </w:r>
            <w:r w:rsidRPr="009A53A8">
              <w:rPr>
                <w:sz w:val="18"/>
                <w:szCs w:val="18"/>
              </w:rPr>
              <w:t>综合财力（</w:t>
            </w:r>
            <w:r w:rsidRPr="009A53A8">
              <w:rPr>
                <w:sz w:val="18"/>
                <w:szCs w:val="18"/>
              </w:rPr>
              <w:t>%</w:t>
            </w:r>
            <w:r w:rsidRPr="009A53A8">
              <w:rPr>
                <w:sz w:val="18"/>
                <w:szCs w:val="18"/>
              </w:rPr>
              <w:t>）</w:t>
            </w:r>
          </w:p>
        </w:tc>
        <w:tc>
          <w:tcPr>
            <w:tcW w:w="859" w:type="pct"/>
            <w:shd w:val="clear" w:color="auto" w:fill="auto"/>
            <w:vAlign w:val="center"/>
          </w:tcPr>
          <w:p w:rsidR="006B0350" w:rsidRPr="009A53A8" w:rsidRDefault="006B0350" w:rsidP="00A56527">
            <w:pPr>
              <w:jc w:val="center"/>
              <w:rPr>
                <w:sz w:val="18"/>
                <w:szCs w:val="18"/>
              </w:rPr>
            </w:pPr>
            <w:r w:rsidRPr="009A53A8">
              <w:rPr>
                <w:sz w:val="18"/>
                <w:szCs w:val="18"/>
              </w:rPr>
              <w:t>58.30</w:t>
            </w:r>
          </w:p>
        </w:tc>
        <w:tc>
          <w:tcPr>
            <w:tcW w:w="973" w:type="pct"/>
            <w:vAlign w:val="center"/>
          </w:tcPr>
          <w:p w:rsidR="006B0350" w:rsidRPr="00207716" w:rsidRDefault="006B0350" w:rsidP="00A56527">
            <w:pPr>
              <w:widowControl/>
              <w:jc w:val="center"/>
              <w:rPr>
                <w:color w:val="000000"/>
                <w:kern w:val="0"/>
                <w:sz w:val="18"/>
                <w:szCs w:val="18"/>
              </w:rPr>
            </w:pPr>
            <w:r w:rsidRPr="00207716">
              <w:rPr>
                <w:color w:val="000000"/>
                <w:kern w:val="0"/>
                <w:sz w:val="18"/>
                <w:szCs w:val="18"/>
              </w:rPr>
              <w:t>59.53</w:t>
            </w:r>
          </w:p>
        </w:tc>
        <w:tc>
          <w:tcPr>
            <w:tcW w:w="823" w:type="pct"/>
          </w:tcPr>
          <w:p w:rsidR="006B0350" w:rsidRPr="00094226" w:rsidRDefault="006B0350" w:rsidP="00A56527">
            <w:pPr>
              <w:widowControl/>
              <w:jc w:val="center"/>
              <w:rPr>
                <w:color w:val="000000"/>
                <w:kern w:val="0"/>
                <w:sz w:val="18"/>
                <w:szCs w:val="18"/>
              </w:rPr>
            </w:pPr>
            <w:r w:rsidRPr="005367BF">
              <w:rPr>
                <w:color w:val="000000"/>
                <w:kern w:val="0"/>
                <w:sz w:val="18"/>
                <w:szCs w:val="18"/>
              </w:rPr>
              <w:t>65.83</w:t>
            </w:r>
          </w:p>
        </w:tc>
      </w:tr>
      <w:tr w:rsidR="006B0350" w:rsidRPr="00094226" w:rsidTr="003D1341">
        <w:trPr>
          <w:trHeight w:hRule="exact" w:val="284"/>
        </w:trPr>
        <w:tc>
          <w:tcPr>
            <w:tcW w:w="2345" w:type="pct"/>
            <w:shd w:val="clear" w:color="auto" w:fill="D3EDFB"/>
            <w:vAlign w:val="center"/>
          </w:tcPr>
          <w:p w:rsidR="006B0350" w:rsidRPr="009A53A8" w:rsidRDefault="006B0350" w:rsidP="00481533">
            <w:pPr>
              <w:tabs>
                <w:tab w:val="left" w:pos="720"/>
              </w:tabs>
              <w:adjustRightInd w:val="0"/>
              <w:snapToGrid w:val="0"/>
              <w:outlineLvl w:val="0"/>
              <w:rPr>
                <w:sz w:val="18"/>
                <w:szCs w:val="18"/>
              </w:rPr>
            </w:pPr>
            <w:r w:rsidRPr="009A53A8">
              <w:rPr>
                <w:sz w:val="18"/>
                <w:szCs w:val="18"/>
              </w:rPr>
              <w:t>全省税收收入</w:t>
            </w:r>
            <w:r w:rsidRPr="009A53A8">
              <w:rPr>
                <w:sz w:val="18"/>
                <w:szCs w:val="18"/>
              </w:rPr>
              <w:t>/</w:t>
            </w:r>
            <w:r w:rsidRPr="009A53A8">
              <w:rPr>
                <w:sz w:val="18"/>
                <w:szCs w:val="18"/>
              </w:rPr>
              <w:t>一般公共预算收入（</w:t>
            </w:r>
            <w:r w:rsidRPr="009A53A8">
              <w:rPr>
                <w:sz w:val="18"/>
                <w:szCs w:val="18"/>
              </w:rPr>
              <w:t>%</w:t>
            </w:r>
            <w:r w:rsidRPr="009A53A8">
              <w:rPr>
                <w:sz w:val="18"/>
                <w:szCs w:val="18"/>
              </w:rPr>
              <w:t>）</w:t>
            </w:r>
          </w:p>
        </w:tc>
        <w:tc>
          <w:tcPr>
            <w:tcW w:w="859" w:type="pct"/>
            <w:shd w:val="clear" w:color="auto" w:fill="D3EDFB"/>
            <w:vAlign w:val="center"/>
          </w:tcPr>
          <w:p w:rsidR="006B0350" w:rsidRPr="009A53A8" w:rsidRDefault="006B0350" w:rsidP="00A56527">
            <w:pPr>
              <w:jc w:val="center"/>
              <w:rPr>
                <w:sz w:val="18"/>
                <w:szCs w:val="18"/>
              </w:rPr>
            </w:pPr>
            <w:r w:rsidRPr="009A53A8">
              <w:rPr>
                <w:sz w:val="18"/>
                <w:szCs w:val="18"/>
              </w:rPr>
              <w:t>82.51</w:t>
            </w:r>
          </w:p>
        </w:tc>
        <w:tc>
          <w:tcPr>
            <w:tcW w:w="973" w:type="pct"/>
            <w:shd w:val="clear" w:color="auto" w:fill="D3EDFB"/>
            <w:vAlign w:val="center"/>
          </w:tcPr>
          <w:p w:rsidR="006B0350" w:rsidRPr="00207716" w:rsidRDefault="006B0350" w:rsidP="00A56527">
            <w:pPr>
              <w:widowControl/>
              <w:jc w:val="center"/>
              <w:rPr>
                <w:color w:val="000000"/>
                <w:kern w:val="0"/>
                <w:sz w:val="18"/>
                <w:szCs w:val="18"/>
              </w:rPr>
            </w:pPr>
            <w:r w:rsidRPr="00207716">
              <w:rPr>
                <w:color w:val="000000"/>
                <w:kern w:val="0"/>
                <w:sz w:val="18"/>
                <w:szCs w:val="18"/>
              </w:rPr>
              <w:t>83.04</w:t>
            </w:r>
          </w:p>
        </w:tc>
        <w:tc>
          <w:tcPr>
            <w:tcW w:w="823" w:type="pct"/>
            <w:shd w:val="clear" w:color="auto" w:fill="D3EDFB"/>
          </w:tcPr>
          <w:p w:rsidR="006B0350" w:rsidRDefault="006B0350" w:rsidP="00A56527">
            <w:pPr>
              <w:widowControl/>
              <w:jc w:val="center"/>
              <w:rPr>
                <w:color w:val="000000"/>
                <w:kern w:val="0"/>
                <w:sz w:val="18"/>
                <w:szCs w:val="18"/>
              </w:rPr>
            </w:pPr>
            <w:r w:rsidRPr="005367BF">
              <w:rPr>
                <w:color w:val="000000"/>
                <w:kern w:val="0"/>
                <w:sz w:val="18"/>
                <w:szCs w:val="18"/>
              </w:rPr>
              <w:t>8</w:t>
            </w:r>
            <w:r w:rsidRPr="005367BF">
              <w:rPr>
                <w:rFonts w:hint="eastAsia"/>
                <w:color w:val="000000"/>
                <w:kern w:val="0"/>
                <w:sz w:val="18"/>
                <w:szCs w:val="18"/>
              </w:rPr>
              <w:t>2.3</w:t>
            </w:r>
            <w:r w:rsidR="005E7F25">
              <w:rPr>
                <w:rFonts w:hint="eastAsia"/>
                <w:color w:val="000000"/>
                <w:kern w:val="0"/>
                <w:sz w:val="18"/>
                <w:szCs w:val="18"/>
              </w:rPr>
              <w:t>3</w:t>
            </w:r>
          </w:p>
          <w:p w:rsidR="005E7F25" w:rsidRPr="00094226" w:rsidRDefault="005E7F25" w:rsidP="00A56527">
            <w:pPr>
              <w:widowControl/>
              <w:jc w:val="center"/>
              <w:rPr>
                <w:color w:val="000000"/>
                <w:kern w:val="0"/>
                <w:sz w:val="18"/>
                <w:szCs w:val="18"/>
              </w:rPr>
            </w:pPr>
          </w:p>
        </w:tc>
      </w:tr>
      <w:tr w:rsidR="006B0350" w:rsidRPr="00094226" w:rsidTr="003D1341">
        <w:trPr>
          <w:trHeight w:hRule="exact" w:val="284"/>
        </w:trPr>
        <w:tc>
          <w:tcPr>
            <w:tcW w:w="2345" w:type="pct"/>
            <w:shd w:val="clear" w:color="auto" w:fill="auto"/>
            <w:vAlign w:val="center"/>
          </w:tcPr>
          <w:p w:rsidR="006B0350" w:rsidRPr="009A53A8" w:rsidRDefault="006B0350" w:rsidP="00481533">
            <w:pPr>
              <w:tabs>
                <w:tab w:val="left" w:pos="720"/>
              </w:tabs>
              <w:adjustRightInd w:val="0"/>
              <w:snapToGrid w:val="0"/>
              <w:outlineLvl w:val="0"/>
              <w:rPr>
                <w:sz w:val="18"/>
                <w:szCs w:val="18"/>
              </w:rPr>
            </w:pPr>
            <w:r w:rsidRPr="009A53A8">
              <w:rPr>
                <w:sz w:val="18"/>
                <w:szCs w:val="18"/>
              </w:rPr>
              <w:t>全</w:t>
            </w:r>
            <w:r w:rsidRPr="009A53A8">
              <w:rPr>
                <w:rFonts w:hint="eastAsia"/>
                <w:sz w:val="18"/>
                <w:szCs w:val="18"/>
              </w:rPr>
              <w:t>省政府性基金财力</w:t>
            </w:r>
            <w:r w:rsidRPr="009A53A8">
              <w:rPr>
                <w:sz w:val="18"/>
                <w:szCs w:val="18"/>
              </w:rPr>
              <w:t>/</w:t>
            </w:r>
            <w:r w:rsidRPr="009A53A8">
              <w:rPr>
                <w:rFonts w:hint="eastAsia"/>
                <w:sz w:val="18"/>
                <w:szCs w:val="18"/>
              </w:rPr>
              <w:t>综合财力（</w:t>
            </w:r>
            <w:r w:rsidRPr="009A53A8">
              <w:rPr>
                <w:sz w:val="18"/>
                <w:szCs w:val="18"/>
              </w:rPr>
              <w:t>%</w:t>
            </w:r>
            <w:r w:rsidRPr="009A53A8">
              <w:rPr>
                <w:sz w:val="18"/>
                <w:szCs w:val="18"/>
              </w:rPr>
              <w:t>）</w:t>
            </w:r>
          </w:p>
        </w:tc>
        <w:tc>
          <w:tcPr>
            <w:tcW w:w="859" w:type="pct"/>
            <w:shd w:val="clear" w:color="auto" w:fill="auto"/>
            <w:vAlign w:val="center"/>
          </w:tcPr>
          <w:p w:rsidR="006B0350" w:rsidRPr="009A53A8" w:rsidRDefault="006B0350" w:rsidP="00A56527">
            <w:pPr>
              <w:jc w:val="center"/>
              <w:rPr>
                <w:sz w:val="18"/>
                <w:szCs w:val="18"/>
              </w:rPr>
            </w:pPr>
            <w:r w:rsidRPr="009A53A8">
              <w:rPr>
                <w:sz w:val="18"/>
                <w:szCs w:val="18"/>
              </w:rPr>
              <w:t>41.70</w:t>
            </w:r>
          </w:p>
        </w:tc>
        <w:tc>
          <w:tcPr>
            <w:tcW w:w="973" w:type="pct"/>
            <w:vAlign w:val="center"/>
          </w:tcPr>
          <w:p w:rsidR="006B0350" w:rsidRPr="00207716" w:rsidRDefault="006B0350" w:rsidP="00A56527">
            <w:pPr>
              <w:widowControl/>
              <w:jc w:val="center"/>
              <w:rPr>
                <w:color w:val="000000"/>
                <w:kern w:val="0"/>
                <w:sz w:val="18"/>
                <w:szCs w:val="18"/>
              </w:rPr>
            </w:pPr>
            <w:r w:rsidRPr="00207716">
              <w:rPr>
                <w:color w:val="000000"/>
                <w:kern w:val="0"/>
                <w:sz w:val="18"/>
                <w:szCs w:val="18"/>
              </w:rPr>
              <w:t>40.47</w:t>
            </w:r>
          </w:p>
        </w:tc>
        <w:tc>
          <w:tcPr>
            <w:tcW w:w="823" w:type="pct"/>
          </w:tcPr>
          <w:p w:rsidR="006B0350" w:rsidRDefault="006B0350" w:rsidP="00A56527">
            <w:pPr>
              <w:widowControl/>
              <w:jc w:val="center"/>
              <w:rPr>
                <w:color w:val="000000"/>
                <w:kern w:val="0"/>
                <w:sz w:val="18"/>
                <w:szCs w:val="18"/>
              </w:rPr>
            </w:pPr>
            <w:r w:rsidRPr="005367BF">
              <w:rPr>
                <w:color w:val="000000"/>
                <w:kern w:val="0"/>
                <w:sz w:val="18"/>
                <w:szCs w:val="18"/>
              </w:rPr>
              <w:t>34.17</w:t>
            </w:r>
          </w:p>
        </w:tc>
      </w:tr>
      <w:tr w:rsidR="006B0350" w:rsidRPr="00094226" w:rsidTr="003D1341">
        <w:trPr>
          <w:trHeight w:hRule="exact" w:val="284"/>
        </w:trPr>
        <w:tc>
          <w:tcPr>
            <w:tcW w:w="2345" w:type="pct"/>
            <w:shd w:val="clear" w:color="auto" w:fill="D3EDFB"/>
            <w:vAlign w:val="center"/>
          </w:tcPr>
          <w:p w:rsidR="006B0350" w:rsidRPr="009A53A8" w:rsidRDefault="006B0350" w:rsidP="00481533">
            <w:pPr>
              <w:tabs>
                <w:tab w:val="left" w:pos="720"/>
              </w:tabs>
              <w:adjustRightInd w:val="0"/>
              <w:snapToGrid w:val="0"/>
              <w:outlineLvl w:val="0"/>
              <w:rPr>
                <w:sz w:val="18"/>
                <w:szCs w:val="18"/>
              </w:rPr>
            </w:pPr>
            <w:r w:rsidRPr="009A53A8">
              <w:rPr>
                <w:sz w:val="18"/>
                <w:szCs w:val="18"/>
              </w:rPr>
              <w:t>全省政府债务率（</w:t>
            </w:r>
            <w:r w:rsidRPr="009A53A8">
              <w:rPr>
                <w:sz w:val="18"/>
                <w:szCs w:val="18"/>
              </w:rPr>
              <w:t>%</w:t>
            </w:r>
            <w:r w:rsidRPr="009A53A8">
              <w:rPr>
                <w:sz w:val="18"/>
                <w:szCs w:val="18"/>
              </w:rPr>
              <w:t>）</w:t>
            </w:r>
          </w:p>
        </w:tc>
        <w:tc>
          <w:tcPr>
            <w:tcW w:w="859" w:type="pct"/>
            <w:shd w:val="clear" w:color="auto" w:fill="D3EDFB"/>
            <w:vAlign w:val="center"/>
          </w:tcPr>
          <w:p w:rsidR="006B0350" w:rsidRPr="009A53A8" w:rsidDel="009C66D5" w:rsidRDefault="006B0350" w:rsidP="00A56527">
            <w:pPr>
              <w:jc w:val="center"/>
              <w:rPr>
                <w:sz w:val="18"/>
                <w:szCs w:val="18"/>
              </w:rPr>
            </w:pPr>
            <w:r w:rsidRPr="00A7362B">
              <w:rPr>
                <w:color w:val="000000"/>
                <w:kern w:val="0"/>
                <w:sz w:val="18"/>
                <w:szCs w:val="18"/>
              </w:rPr>
              <w:t>—</w:t>
            </w:r>
          </w:p>
        </w:tc>
        <w:tc>
          <w:tcPr>
            <w:tcW w:w="973" w:type="pct"/>
            <w:shd w:val="clear" w:color="auto" w:fill="D3EDFB"/>
            <w:vAlign w:val="center"/>
          </w:tcPr>
          <w:p w:rsidR="006B0350" w:rsidRPr="00207716" w:rsidRDefault="006B0350" w:rsidP="00A56527">
            <w:pPr>
              <w:widowControl/>
              <w:jc w:val="center"/>
              <w:rPr>
                <w:color w:val="000000"/>
                <w:kern w:val="0"/>
                <w:sz w:val="18"/>
                <w:szCs w:val="18"/>
              </w:rPr>
            </w:pPr>
            <w:r w:rsidRPr="00207716">
              <w:rPr>
                <w:color w:val="000000"/>
                <w:kern w:val="0"/>
                <w:sz w:val="18"/>
                <w:szCs w:val="18"/>
              </w:rPr>
              <w:t>—</w:t>
            </w:r>
          </w:p>
        </w:tc>
        <w:tc>
          <w:tcPr>
            <w:tcW w:w="823" w:type="pct"/>
            <w:shd w:val="clear" w:color="auto" w:fill="D3EDFB"/>
          </w:tcPr>
          <w:p w:rsidR="006B0350" w:rsidRPr="00094226" w:rsidRDefault="006B0350" w:rsidP="00A56527">
            <w:pPr>
              <w:widowControl/>
              <w:jc w:val="center"/>
              <w:rPr>
                <w:color w:val="000000"/>
                <w:kern w:val="0"/>
                <w:sz w:val="18"/>
                <w:szCs w:val="18"/>
              </w:rPr>
            </w:pPr>
            <w:r w:rsidRPr="005367BF">
              <w:rPr>
                <w:rFonts w:hint="eastAsia"/>
                <w:color w:val="000000"/>
                <w:kern w:val="0"/>
                <w:sz w:val="18"/>
                <w:szCs w:val="18"/>
              </w:rPr>
              <w:t>68.50</w:t>
            </w:r>
          </w:p>
        </w:tc>
      </w:tr>
    </w:tbl>
    <w:p w:rsidR="00B12D88" w:rsidRPr="00094226" w:rsidRDefault="006B31F2" w:rsidP="0086308A">
      <w:pPr>
        <w:widowControl/>
        <w:spacing w:afterLines="50" w:after="156" w:line="240" w:lineRule="exact"/>
        <w:jc w:val="left"/>
        <w:rPr>
          <w:kern w:val="0"/>
          <w:sz w:val="15"/>
          <w:szCs w:val="15"/>
        </w:rPr>
      </w:pPr>
      <w:r w:rsidRPr="000A0937">
        <w:rPr>
          <w:rFonts w:eastAsia="黑体"/>
          <w:kern w:val="0"/>
          <w:sz w:val="15"/>
          <w:szCs w:val="15"/>
        </w:rPr>
        <w:t>注：</w:t>
      </w:r>
      <w:r w:rsidRPr="000A0937">
        <w:rPr>
          <w:rFonts w:eastAsia="黑体"/>
          <w:kern w:val="0"/>
          <w:sz w:val="15"/>
          <w:szCs w:val="15"/>
        </w:rPr>
        <w:t>201</w:t>
      </w:r>
      <w:r>
        <w:rPr>
          <w:rFonts w:eastAsia="黑体" w:hint="eastAsia"/>
          <w:kern w:val="0"/>
          <w:sz w:val="15"/>
          <w:szCs w:val="15"/>
        </w:rPr>
        <w:t>3</w:t>
      </w:r>
      <w:r w:rsidRPr="000A0937">
        <w:rPr>
          <w:rFonts w:eastAsia="黑体"/>
          <w:kern w:val="0"/>
          <w:sz w:val="15"/>
          <w:szCs w:val="15"/>
        </w:rPr>
        <w:t>~201</w:t>
      </w:r>
      <w:r>
        <w:rPr>
          <w:rFonts w:eastAsia="黑体" w:hint="eastAsia"/>
          <w:kern w:val="0"/>
          <w:sz w:val="15"/>
          <w:szCs w:val="15"/>
        </w:rPr>
        <w:t>4</w:t>
      </w:r>
      <w:r w:rsidRPr="000A0937">
        <w:rPr>
          <w:rFonts w:eastAsia="黑体"/>
          <w:kern w:val="0"/>
          <w:sz w:val="15"/>
          <w:szCs w:val="15"/>
        </w:rPr>
        <w:t>年财政数据为决算数据</w:t>
      </w:r>
      <w:r>
        <w:rPr>
          <w:rFonts w:eastAsia="黑体" w:hint="eastAsia"/>
          <w:kern w:val="0"/>
          <w:sz w:val="15"/>
          <w:szCs w:val="15"/>
        </w:rPr>
        <w:t>。</w:t>
      </w:r>
      <w:r>
        <w:rPr>
          <w:rFonts w:eastAsia="黑体" w:hint="eastAsia"/>
          <w:kern w:val="0"/>
          <w:sz w:val="15"/>
          <w:szCs w:val="15"/>
        </w:rPr>
        <w:t>2015</w:t>
      </w:r>
      <w:r>
        <w:rPr>
          <w:rFonts w:eastAsia="黑体" w:hint="eastAsia"/>
          <w:kern w:val="0"/>
          <w:sz w:val="15"/>
          <w:szCs w:val="15"/>
        </w:rPr>
        <w:t>年</w:t>
      </w:r>
      <w:r w:rsidRPr="000A0937">
        <w:rPr>
          <w:rFonts w:eastAsia="黑体"/>
          <w:kern w:val="0"/>
          <w:sz w:val="15"/>
          <w:szCs w:val="15"/>
        </w:rPr>
        <w:t>全省政府债务率指标为江苏省</w:t>
      </w:r>
      <w:r>
        <w:rPr>
          <w:rFonts w:eastAsia="黑体" w:hint="eastAsia"/>
          <w:kern w:val="0"/>
          <w:sz w:val="15"/>
          <w:szCs w:val="15"/>
        </w:rPr>
        <w:t>财政</w:t>
      </w:r>
      <w:r>
        <w:rPr>
          <w:rFonts w:eastAsia="黑体"/>
          <w:kern w:val="0"/>
          <w:sz w:val="15"/>
          <w:szCs w:val="15"/>
        </w:rPr>
        <w:t>厅</w:t>
      </w:r>
      <w:r>
        <w:rPr>
          <w:rFonts w:eastAsia="黑体" w:hint="eastAsia"/>
          <w:kern w:val="0"/>
          <w:sz w:val="15"/>
          <w:szCs w:val="15"/>
        </w:rPr>
        <w:t>提供</w:t>
      </w:r>
      <w:r w:rsidRPr="000A0937">
        <w:rPr>
          <w:rFonts w:eastAsia="黑体"/>
          <w:kern w:val="0"/>
          <w:sz w:val="15"/>
          <w:szCs w:val="15"/>
        </w:rPr>
        <w:t>数据。</w:t>
      </w:r>
      <w:r w:rsidR="00B12D88" w:rsidRPr="00094226">
        <w:rPr>
          <w:kern w:val="0"/>
          <w:sz w:val="15"/>
          <w:szCs w:val="15"/>
        </w:rPr>
        <w:br w:type="page"/>
      </w:r>
    </w:p>
    <w:p w:rsidR="00B12D88" w:rsidRPr="00094226" w:rsidRDefault="00B12D88" w:rsidP="00B12D88">
      <w:pPr>
        <w:tabs>
          <w:tab w:val="left" w:pos="720"/>
        </w:tabs>
        <w:adjustRightInd w:val="0"/>
        <w:snapToGrid w:val="0"/>
        <w:spacing w:line="300" w:lineRule="auto"/>
        <w:jc w:val="left"/>
        <w:outlineLvl w:val="0"/>
        <w:rPr>
          <w:rFonts w:eastAsia="黑体"/>
          <w:b/>
          <w:sz w:val="24"/>
        </w:rPr>
      </w:pPr>
      <w:r w:rsidRPr="00094226">
        <w:rPr>
          <w:rFonts w:eastAsia="黑体"/>
          <w:b/>
          <w:sz w:val="24"/>
        </w:rPr>
        <w:lastRenderedPageBreak/>
        <w:t>附件三：</w:t>
      </w:r>
    </w:p>
    <w:p w:rsidR="00B12D88" w:rsidRPr="00094226" w:rsidRDefault="00B12D88" w:rsidP="00B12D88">
      <w:pPr>
        <w:adjustRightInd w:val="0"/>
        <w:snapToGrid w:val="0"/>
        <w:spacing w:line="300" w:lineRule="auto"/>
        <w:jc w:val="center"/>
        <w:outlineLvl w:val="0"/>
        <w:rPr>
          <w:rFonts w:eastAsia="黑体"/>
          <w:b/>
          <w:sz w:val="24"/>
        </w:rPr>
      </w:pPr>
      <w:r w:rsidRPr="00094226">
        <w:rPr>
          <w:rFonts w:eastAsia="黑体"/>
          <w:b/>
          <w:sz w:val="24"/>
        </w:rPr>
        <w:t>指标计算公式</w:t>
      </w:r>
    </w:p>
    <w:tbl>
      <w:tblPr>
        <w:tblW w:w="5000" w:type="pct"/>
        <w:jc w:val="center"/>
        <w:tblBorders>
          <w:top w:val="single" w:sz="4" w:space="0" w:color="auto"/>
          <w:bottom w:val="single" w:sz="4" w:space="0" w:color="auto"/>
        </w:tblBorders>
        <w:tblLook w:val="01E0" w:firstRow="1" w:lastRow="1" w:firstColumn="1" w:lastColumn="1" w:noHBand="0" w:noVBand="0"/>
      </w:tblPr>
      <w:tblGrid>
        <w:gridCol w:w="9572"/>
      </w:tblGrid>
      <w:tr w:rsidR="00BE2891" w:rsidRPr="00094226" w:rsidTr="003A5564">
        <w:trPr>
          <w:trHeight w:hRule="exact" w:val="369"/>
          <w:jc w:val="center"/>
        </w:trPr>
        <w:tc>
          <w:tcPr>
            <w:tcW w:w="5000" w:type="pct"/>
            <w:shd w:val="clear" w:color="auto" w:fill="0070C0"/>
            <w:vAlign w:val="center"/>
          </w:tcPr>
          <w:p w:rsidR="00BE2891" w:rsidRPr="00094226" w:rsidRDefault="00BE2891" w:rsidP="004A756E">
            <w:pPr>
              <w:tabs>
                <w:tab w:val="left" w:pos="720"/>
              </w:tabs>
              <w:adjustRightInd w:val="0"/>
              <w:snapToGrid w:val="0"/>
              <w:outlineLvl w:val="0"/>
              <w:rPr>
                <w:b/>
                <w:color w:val="FFFFFF"/>
                <w:sz w:val="18"/>
                <w:szCs w:val="18"/>
              </w:rPr>
            </w:pPr>
            <w:r w:rsidRPr="00094226">
              <w:rPr>
                <w:b/>
                <w:color w:val="FFFFFF"/>
                <w:sz w:val="18"/>
                <w:szCs w:val="18"/>
              </w:rPr>
              <w:t>公式说明：</w:t>
            </w:r>
          </w:p>
        </w:tc>
      </w:tr>
      <w:tr w:rsidR="00BE2891" w:rsidRPr="00094226" w:rsidTr="00103FF9">
        <w:trPr>
          <w:trHeight w:val="369"/>
          <w:jc w:val="center"/>
        </w:trPr>
        <w:tc>
          <w:tcPr>
            <w:tcW w:w="5000" w:type="pct"/>
            <w:shd w:val="clear" w:color="auto" w:fill="auto"/>
            <w:vAlign w:val="center"/>
          </w:tcPr>
          <w:p w:rsidR="00BE2891" w:rsidRPr="00094226" w:rsidRDefault="00BE2891" w:rsidP="004A756E">
            <w:pPr>
              <w:tabs>
                <w:tab w:val="left" w:pos="720"/>
              </w:tabs>
              <w:adjustRightInd w:val="0"/>
              <w:snapToGrid w:val="0"/>
              <w:spacing w:line="300" w:lineRule="auto"/>
              <w:outlineLvl w:val="0"/>
              <w:rPr>
                <w:sz w:val="18"/>
                <w:szCs w:val="18"/>
              </w:rPr>
            </w:pPr>
            <w:r w:rsidRPr="00094226">
              <w:rPr>
                <w:sz w:val="18"/>
                <w:szCs w:val="18"/>
              </w:rPr>
              <w:t>1</w:t>
            </w:r>
            <w:r w:rsidRPr="00094226">
              <w:rPr>
                <w:sz w:val="18"/>
                <w:szCs w:val="18"/>
              </w:rPr>
              <w:t>、政府综合财力</w:t>
            </w:r>
            <w:r w:rsidRPr="00094226">
              <w:rPr>
                <w:sz w:val="18"/>
                <w:szCs w:val="18"/>
              </w:rPr>
              <w:t>=</w:t>
            </w:r>
            <w:r w:rsidRPr="00094226">
              <w:rPr>
                <w:sz w:val="18"/>
                <w:szCs w:val="18"/>
              </w:rPr>
              <w:t>一般公共预算财力</w:t>
            </w:r>
            <w:r w:rsidRPr="00094226">
              <w:rPr>
                <w:sz w:val="18"/>
                <w:szCs w:val="18"/>
              </w:rPr>
              <w:t>+</w:t>
            </w:r>
            <w:r w:rsidRPr="00094226">
              <w:rPr>
                <w:sz w:val="18"/>
                <w:szCs w:val="18"/>
              </w:rPr>
              <w:t>政府性基金预算财力</w:t>
            </w:r>
            <w:r w:rsidRPr="00094226">
              <w:rPr>
                <w:sz w:val="18"/>
                <w:szCs w:val="18"/>
              </w:rPr>
              <w:t xml:space="preserve"> </w:t>
            </w:r>
          </w:p>
        </w:tc>
      </w:tr>
      <w:tr w:rsidR="00BE2891" w:rsidRPr="00094226" w:rsidTr="00103FF9">
        <w:trPr>
          <w:trHeight w:val="709"/>
          <w:jc w:val="center"/>
        </w:trPr>
        <w:tc>
          <w:tcPr>
            <w:tcW w:w="5000" w:type="pct"/>
            <w:shd w:val="clear" w:color="auto" w:fill="D3EDFB"/>
            <w:vAlign w:val="center"/>
          </w:tcPr>
          <w:p w:rsidR="00BE2891" w:rsidRPr="00094226" w:rsidRDefault="00BE2891" w:rsidP="004A756E">
            <w:pPr>
              <w:tabs>
                <w:tab w:val="left" w:pos="720"/>
              </w:tabs>
              <w:adjustRightInd w:val="0"/>
              <w:snapToGrid w:val="0"/>
              <w:spacing w:line="300" w:lineRule="auto"/>
              <w:outlineLvl w:val="0"/>
              <w:rPr>
                <w:sz w:val="18"/>
                <w:szCs w:val="18"/>
              </w:rPr>
            </w:pPr>
            <w:r w:rsidRPr="00094226">
              <w:rPr>
                <w:sz w:val="18"/>
                <w:szCs w:val="18"/>
              </w:rPr>
              <w:t>2</w:t>
            </w:r>
            <w:r w:rsidRPr="00094226">
              <w:rPr>
                <w:sz w:val="18"/>
                <w:szCs w:val="18"/>
              </w:rPr>
              <w:t>、一般公共预算财力</w:t>
            </w:r>
            <w:r w:rsidRPr="00094226">
              <w:rPr>
                <w:sz w:val="18"/>
                <w:szCs w:val="18"/>
              </w:rPr>
              <w:t>=</w:t>
            </w:r>
            <w:r w:rsidRPr="00094226">
              <w:rPr>
                <w:sz w:val="18"/>
                <w:szCs w:val="18"/>
              </w:rPr>
              <w:t>一般公共预算收入</w:t>
            </w:r>
            <w:r w:rsidRPr="00094226">
              <w:rPr>
                <w:sz w:val="18"/>
                <w:szCs w:val="18"/>
              </w:rPr>
              <w:t>+</w:t>
            </w:r>
            <w:r w:rsidRPr="00094226">
              <w:rPr>
                <w:sz w:val="18"/>
                <w:szCs w:val="18"/>
              </w:rPr>
              <w:t>（上级补助收入</w:t>
            </w:r>
            <w:r w:rsidRPr="00094226">
              <w:rPr>
                <w:sz w:val="18"/>
                <w:szCs w:val="18"/>
              </w:rPr>
              <w:t>-</w:t>
            </w:r>
            <w:r w:rsidRPr="00094226">
              <w:rPr>
                <w:sz w:val="18"/>
                <w:szCs w:val="18"/>
              </w:rPr>
              <w:t>补助下级支出）</w:t>
            </w:r>
            <w:r w:rsidRPr="00094226">
              <w:rPr>
                <w:sz w:val="18"/>
                <w:szCs w:val="18"/>
              </w:rPr>
              <w:t>+</w:t>
            </w:r>
            <w:r w:rsidRPr="00094226">
              <w:rPr>
                <w:sz w:val="18"/>
                <w:szCs w:val="18"/>
              </w:rPr>
              <w:t>（下级上解收入</w:t>
            </w:r>
            <w:r w:rsidRPr="00094226">
              <w:rPr>
                <w:sz w:val="18"/>
                <w:szCs w:val="18"/>
              </w:rPr>
              <w:t>-</w:t>
            </w:r>
            <w:r w:rsidRPr="00094226">
              <w:rPr>
                <w:sz w:val="18"/>
                <w:szCs w:val="18"/>
              </w:rPr>
              <w:t>上解上级支出）</w:t>
            </w:r>
            <w:r w:rsidRPr="00094226">
              <w:rPr>
                <w:sz w:val="18"/>
                <w:szCs w:val="18"/>
              </w:rPr>
              <w:t>+</w:t>
            </w:r>
            <w:r w:rsidRPr="00094226">
              <w:rPr>
                <w:sz w:val="18"/>
                <w:szCs w:val="18"/>
              </w:rPr>
              <w:t>其他（上年净结余</w:t>
            </w:r>
            <w:r w:rsidRPr="00094226">
              <w:rPr>
                <w:sz w:val="18"/>
                <w:szCs w:val="18"/>
              </w:rPr>
              <w:t>+</w:t>
            </w:r>
            <w:r w:rsidRPr="00094226">
              <w:rPr>
                <w:sz w:val="18"/>
                <w:szCs w:val="18"/>
              </w:rPr>
              <w:t>调入预算稳定调节基金</w:t>
            </w:r>
            <w:r w:rsidRPr="00094226">
              <w:rPr>
                <w:sz w:val="18"/>
                <w:szCs w:val="18"/>
              </w:rPr>
              <w:t>+</w:t>
            </w:r>
            <w:r w:rsidRPr="00094226">
              <w:rPr>
                <w:sz w:val="18"/>
                <w:szCs w:val="18"/>
              </w:rPr>
              <w:t>其他调入资金</w:t>
            </w:r>
            <w:r w:rsidRPr="00094226">
              <w:rPr>
                <w:sz w:val="18"/>
                <w:szCs w:val="18"/>
              </w:rPr>
              <w:t>+</w:t>
            </w:r>
            <w:r w:rsidRPr="00094226">
              <w:rPr>
                <w:sz w:val="18"/>
                <w:szCs w:val="18"/>
              </w:rPr>
              <w:t>预算稳定调节基金年末余额）</w:t>
            </w:r>
          </w:p>
        </w:tc>
      </w:tr>
      <w:tr w:rsidR="00BE2891" w:rsidRPr="00F539C4" w:rsidTr="00103FF9">
        <w:trPr>
          <w:trHeight w:val="369"/>
          <w:jc w:val="center"/>
        </w:trPr>
        <w:tc>
          <w:tcPr>
            <w:tcW w:w="5000" w:type="pct"/>
            <w:shd w:val="clear" w:color="auto" w:fill="FFFFFF"/>
            <w:vAlign w:val="center"/>
          </w:tcPr>
          <w:p w:rsidR="00BE2891" w:rsidRPr="00094226" w:rsidRDefault="00BE2891" w:rsidP="004A756E">
            <w:pPr>
              <w:tabs>
                <w:tab w:val="left" w:pos="720"/>
              </w:tabs>
              <w:adjustRightInd w:val="0"/>
              <w:snapToGrid w:val="0"/>
              <w:spacing w:line="300" w:lineRule="auto"/>
              <w:outlineLvl w:val="0"/>
              <w:rPr>
                <w:sz w:val="18"/>
                <w:szCs w:val="18"/>
              </w:rPr>
            </w:pPr>
            <w:r w:rsidRPr="00094226">
              <w:rPr>
                <w:sz w:val="18"/>
                <w:szCs w:val="18"/>
              </w:rPr>
              <w:t>3</w:t>
            </w:r>
            <w:r w:rsidRPr="00094226">
              <w:rPr>
                <w:sz w:val="18"/>
                <w:szCs w:val="18"/>
              </w:rPr>
              <w:t>、政府性基金预算财力</w:t>
            </w:r>
            <w:r w:rsidRPr="00094226">
              <w:rPr>
                <w:sz w:val="18"/>
                <w:szCs w:val="18"/>
              </w:rPr>
              <w:t>=</w:t>
            </w:r>
            <w:r w:rsidRPr="00094226">
              <w:rPr>
                <w:sz w:val="18"/>
                <w:szCs w:val="18"/>
              </w:rPr>
              <w:t>政府性基金收入</w:t>
            </w:r>
            <w:r w:rsidRPr="00094226">
              <w:rPr>
                <w:sz w:val="18"/>
                <w:szCs w:val="18"/>
              </w:rPr>
              <w:t>+</w:t>
            </w:r>
            <w:r w:rsidRPr="00094226">
              <w:rPr>
                <w:sz w:val="18"/>
                <w:szCs w:val="18"/>
              </w:rPr>
              <w:t>（上级补助收入</w:t>
            </w:r>
            <w:r w:rsidRPr="00094226">
              <w:rPr>
                <w:sz w:val="18"/>
                <w:szCs w:val="18"/>
              </w:rPr>
              <w:t>-</w:t>
            </w:r>
            <w:r w:rsidRPr="00094226">
              <w:rPr>
                <w:sz w:val="18"/>
                <w:szCs w:val="18"/>
              </w:rPr>
              <w:t>补助下级支出）</w:t>
            </w:r>
            <w:r w:rsidRPr="00094226">
              <w:rPr>
                <w:sz w:val="18"/>
                <w:szCs w:val="18"/>
              </w:rPr>
              <w:t>+</w:t>
            </w:r>
            <w:r w:rsidRPr="00094226">
              <w:rPr>
                <w:sz w:val="18"/>
                <w:szCs w:val="18"/>
              </w:rPr>
              <w:t>其他（上年结余</w:t>
            </w:r>
            <w:r w:rsidRPr="00094226">
              <w:rPr>
                <w:sz w:val="18"/>
                <w:szCs w:val="18"/>
              </w:rPr>
              <w:t>+</w:t>
            </w:r>
            <w:r w:rsidRPr="00094226">
              <w:rPr>
                <w:sz w:val="18"/>
                <w:szCs w:val="18"/>
              </w:rPr>
              <w:t>其他调入</w:t>
            </w:r>
            <w:r w:rsidRPr="00094226">
              <w:rPr>
                <w:sz w:val="18"/>
                <w:szCs w:val="18"/>
              </w:rPr>
              <w:t>-</w:t>
            </w:r>
            <w:r w:rsidRPr="00094226">
              <w:rPr>
                <w:sz w:val="18"/>
                <w:szCs w:val="18"/>
              </w:rPr>
              <w:t>调出资金）</w:t>
            </w:r>
          </w:p>
        </w:tc>
      </w:tr>
      <w:tr w:rsidR="00BE2891" w:rsidRPr="00094226" w:rsidTr="00103FF9">
        <w:trPr>
          <w:trHeight w:val="709"/>
          <w:jc w:val="center"/>
        </w:trPr>
        <w:tc>
          <w:tcPr>
            <w:tcW w:w="5000" w:type="pct"/>
            <w:shd w:val="clear" w:color="auto" w:fill="D3EDFB"/>
            <w:vAlign w:val="center"/>
          </w:tcPr>
          <w:p w:rsidR="00BE2891" w:rsidRPr="00094226" w:rsidRDefault="00BE2891" w:rsidP="004A756E">
            <w:pPr>
              <w:tabs>
                <w:tab w:val="left" w:pos="720"/>
              </w:tabs>
              <w:adjustRightInd w:val="0"/>
              <w:snapToGrid w:val="0"/>
              <w:spacing w:line="300" w:lineRule="auto"/>
              <w:outlineLvl w:val="0"/>
              <w:rPr>
                <w:sz w:val="18"/>
                <w:szCs w:val="18"/>
              </w:rPr>
            </w:pPr>
            <w:r w:rsidRPr="00094226">
              <w:rPr>
                <w:sz w:val="18"/>
                <w:szCs w:val="18"/>
              </w:rPr>
              <w:t>4</w:t>
            </w:r>
            <w:r w:rsidRPr="00094226">
              <w:rPr>
                <w:sz w:val="18"/>
                <w:szCs w:val="18"/>
              </w:rPr>
              <w:t>、经常性支出指为保障政府各个部门机关和事业单位的日常运转所需支出以及社会保障等方面的支出，具体包括工资福利支出、商品和服务支出、对企事业单位的补贴、对个人和家庭的补助、债务还本及利息支出等</w:t>
            </w:r>
          </w:p>
        </w:tc>
      </w:tr>
      <w:tr w:rsidR="00BE2891" w:rsidRPr="00094226" w:rsidTr="00103FF9">
        <w:trPr>
          <w:trHeight w:val="709"/>
          <w:jc w:val="center"/>
        </w:trPr>
        <w:tc>
          <w:tcPr>
            <w:tcW w:w="5000" w:type="pct"/>
            <w:shd w:val="clear" w:color="auto" w:fill="auto"/>
            <w:vAlign w:val="center"/>
          </w:tcPr>
          <w:p w:rsidR="00BE2891" w:rsidRPr="00094226" w:rsidRDefault="00BE2891" w:rsidP="004A756E">
            <w:pPr>
              <w:tabs>
                <w:tab w:val="left" w:pos="720"/>
              </w:tabs>
              <w:adjustRightInd w:val="0"/>
              <w:snapToGrid w:val="0"/>
              <w:spacing w:line="300" w:lineRule="auto"/>
              <w:outlineLvl w:val="0"/>
              <w:rPr>
                <w:sz w:val="18"/>
                <w:szCs w:val="18"/>
              </w:rPr>
            </w:pPr>
            <w:r w:rsidRPr="00094226">
              <w:rPr>
                <w:sz w:val="18"/>
                <w:szCs w:val="18"/>
              </w:rPr>
              <w:t>5</w:t>
            </w:r>
            <w:r w:rsidRPr="00094226">
              <w:rPr>
                <w:sz w:val="18"/>
                <w:szCs w:val="18"/>
              </w:rPr>
              <w:t>、资本性支出是地方政府推动区域经济增长的主要手段，具体包括基本建设支出、其他资本性支出、转移性支出、赠与、贷款转贷以及产权参股等</w:t>
            </w:r>
          </w:p>
        </w:tc>
      </w:tr>
      <w:tr w:rsidR="009B269B" w:rsidRPr="00094226" w:rsidTr="00103FF9">
        <w:trPr>
          <w:trHeight w:val="709"/>
          <w:jc w:val="center"/>
        </w:trPr>
        <w:tc>
          <w:tcPr>
            <w:tcW w:w="5000" w:type="pct"/>
            <w:shd w:val="clear" w:color="auto" w:fill="D3EDFB"/>
            <w:vAlign w:val="center"/>
          </w:tcPr>
          <w:p w:rsidR="009B269B" w:rsidRPr="00954ED1" w:rsidRDefault="009B269B" w:rsidP="002B1718">
            <w:pPr>
              <w:tabs>
                <w:tab w:val="left" w:pos="720"/>
              </w:tabs>
              <w:adjustRightInd w:val="0"/>
              <w:snapToGrid w:val="0"/>
              <w:outlineLvl w:val="0"/>
              <w:rPr>
                <w:sz w:val="18"/>
                <w:szCs w:val="18"/>
              </w:rPr>
            </w:pPr>
            <w:r>
              <w:rPr>
                <w:rFonts w:hint="eastAsia"/>
                <w:sz w:val="18"/>
                <w:szCs w:val="18"/>
              </w:rPr>
              <w:t>6</w:t>
            </w:r>
            <w:r w:rsidRPr="00954ED1">
              <w:rPr>
                <w:sz w:val="18"/>
                <w:szCs w:val="18"/>
              </w:rPr>
              <w:t>、</w:t>
            </w:r>
            <w:r>
              <w:rPr>
                <w:rFonts w:hint="eastAsia"/>
                <w:sz w:val="18"/>
                <w:szCs w:val="18"/>
              </w:rPr>
              <w:t>政府</w:t>
            </w:r>
            <w:r w:rsidRPr="00954ED1">
              <w:rPr>
                <w:sz w:val="18"/>
                <w:szCs w:val="18"/>
              </w:rPr>
              <w:t>债务指地方政府及其下属部门和机构、经费补助事业单位、公用事业单位、政府融资平台和其他相关单位举借，确定由地方政府财政资金偿还的，政府负有直接偿债责任的债务</w:t>
            </w:r>
          </w:p>
        </w:tc>
      </w:tr>
      <w:tr w:rsidR="009B269B" w:rsidRPr="00094226" w:rsidTr="00103FF9">
        <w:trPr>
          <w:trHeight w:val="369"/>
          <w:jc w:val="center"/>
        </w:trPr>
        <w:tc>
          <w:tcPr>
            <w:tcW w:w="5000" w:type="pct"/>
            <w:shd w:val="clear" w:color="auto" w:fill="auto"/>
            <w:vAlign w:val="center"/>
          </w:tcPr>
          <w:p w:rsidR="009B269B" w:rsidRPr="00954ED1" w:rsidRDefault="009B269B" w:rsidP="002B1718">
            <w:pPr>
              <w:tabs>
                <w:tab w:val="left" w:pos="720"/>
              </w:tabs>
              <w:adjustRightInd w:val="0"/>
              <w:snapToGrid w:val="0"/>
              <w:outlineLvl w:val="0"/>
              <w:rPr>
                <w:sz w:val="18"/>
                <w:szCs w:val="18"/>
              </w:rPr>
            </w:pPr>
            <w:r>
              <w:rPr>
                <w:rFonts w:hint="eastAsia"/>
                <w:sz w:val="18"/>
                <w:szCs w:val="18"/>
              </w:rPr>
              <w:t>7</w:t>
            </w:r>
            <w:r>
              <w:rPr>
                <w:sz w:val="18"/>
                <w:szCs w:val="18"/>
              </w:rPr>
              <w:t>、</w:t>
            </w:r>
            <w:r>
              <w:rPr>
                <w:rFonts w:hint="eastAsia"/>
                <w:sz w:val="18"/>
                <w:szCs w:val="18"/>
              </w:rPr>
              <w:t>或有债务指</w:t>
            </w:r>
            <w:r w:rsidRPr="00D538E3">
              <w:rPr>
                <w:rFonts w:hint="eastAsia"/>
                <w:sz w:val="18"/>
                <w:szCs w:val="18"/>
              </w:rPr>
              <w:t>审计口径中政府负有担保责任的债务和可能承担一定救助责任的债务</w:t>
            </w:r>
          </w:p>
        </w:tc>
      </w:tr>
      <w:tr w:rsidR="009B269B" w:rsidRPr="00094226" w:rsidTr="00103FF9">
        <w:trPr>
          <w:trHeight w:val="709"/>
          <w:jc w:val="center"/>
        </w:trPr>
        <w:tc>
          <w:tcPr>
            <w:tcW w:w="5000" w:type="pct"/>
            <w:shd w:val="clear" w:color="auto" w:fill="D3EDFB"/>
            <w:vAlign w:val="center"/>
          </w:tcPr>
          <w:p w:rsidR="009B269B" w:rsidRPr="00954ED1" w:rsidRDefault="009B269B" w:rsidP="002B1718">
            <w:pPr>
              <w:tabs>
                <w:tab w:val="left" w:pos="720"/>
              </w:tabs>
              <w:adjustRightInd w:val="0"/>
              <w:snapToGrid w:val="0"/>
              <w:outlineLvl w:val="0"/>
              <w:rPr>
                <w:sz w:val="18"/>
                <w:szCs w:val="18"/>
              </w:rPr>
            </w:pPr>
            <w:r>
              <w:rPr>
                <w:rFonts w:hint="eastAsia"/>
                <w:sz w:val="18"/>
                <w:szCs w:val="18"/>
              </w:rPr>
              <w:t>8</w:t>
            </w:r>
            <w:r w:rsidRPr="00954ED1">
              <w:rPr>
                <w:sz w:val="18"/>
                <w:szCs w:val="18"/>
              </w:rPr>
              <w:t>、担保债务指因地方政府及其下属机构提供直接或间接担保，当债务人无法偿还债务时，政府负有连带偿债责任的债务</w:t>
            </w:r>
          </w:p>
        </w:tc>
      </w:tr>
      <w:tr w:rsidR="009B269B" w:rsidRPr="00094226" w:rsidTr="00103FF9">
        <w:trPr>
          <w:trHeight w:val="850"/>
          <w:jc w:val="center"/>
        </w:trPr>
        <w:tc>
          <w:tcPr>
            <w:tcW w:w="5000" w:type="pct"/>
            <w:shd w:val="clear" w:color="auto" w:fill="FFFFFF"/>
            <w:vAlign w:val="center"/>
          </w:tcPr>
          <w:p w:rsidR="009B269B" w:rsidRPr="00954ED1" w:rsidRDefault="009B269B" w:rsidP="002B1718">
            <w:pPr>
              <w:tabs>
                <w:tab w:val="left" w:pos="720"/>
              </w:tabs>
              <w:adjustRightInd w:val="0"/>
              <w:snapToGrid w:val="0"/>
              <w:outlineLvl w:val="0"/>
              <w:rPr>
                <w:sz w:val="18"/>
                <w:szCs w:val="18"/>
              </w:rPr>
            </w:pPr>
            <w:r>
              <w:rPr>
                <w:rFonts w:hint="eastAsia"/>
                <w:sz w:val="18"/>
                <w:szCs w:val="18"/>
              </w:rPr>
              <w:t>9</w:t>
            </w:r>
            <w:r w:rsidRPr="00954ED1">
              <w:rPr>
                <w:sz w:val="18"/>
                <w:szCs w:val="18"/>
              </w:rPr>
              <w:t>、政府可能承担一定救助责任的其他相关债务是指政府融资平台、经费补助事业单位和公用事业单位为公益性项目举借，由非财政资金偿还，且地方政府未提供担保的债务。政府在法律上对该类债务不承担偿债责任，但当债务人出现债务危机时，政府可能需要承担兜底责任</w:t>
            </w:r>
          </w:p>
        </w:tc>
      </w:tr>
      <w:tr w:rsidR="009B269B" w:rsidRPr="00094226" w:rsidTr="00103FF9">
        <w:trPr>
          <w:trHeight w:val="369"/>
          <w:jc w:val="center"/>
        </w:trPr>
        <w:tc>
          <w:tcPr>
            <w:tcW w:w="5000" w:type="pct"/>
            <w:shd w:val="clear" w:color="auto" w:fill="D3EDFB"/>
            <w:vAlign w:val="center"/>
          </w:tcPr>
          <w:p w:rsidR="009B269B" w:rsidRPr="00954ED1" w:rsidRDefault="009B269B" w:rsidP="002B1718">
            <w:pPr>
              <w:tabs>
                <w:tab w:val="left" w:pos="720"/>
              </w:tabs>
              <w:adjustRightInd w:val="0"/>
              <w:snapToGrid w:val="0"/>
              <w:outlineLvl w:val="0"/>
              <w:rPr>
                <w:sz w:val="18"/>
                <w:szCs w:val="18"/>
              </w:rPr>
            </w:pPr>
            <w:r>
              <w:rPr>
                <w:rFonts w:hint="eastAsia"/>
                <w:sz w:val="18"/>
                <w:szCs w:val="18"/>
              </w:rPr>
              <w:t>10</w:t>
            </w:r>
            <w:r w:rsidRPr="00954ED1">
              <w:rPr>
                <w:sz w:val="18"/>
                <w:szCs w:val="18"/>
              </w:rPr>
              <w:t>、折算后政府性债务余额</w:t>
            </w:r>
            <w:r w:rsidRPr="00954ED1">
              <w:rPr>
                <w:sz w:val="18"/>
                <w:szCs w:val="18"/>
              </w:rPr>
              <w:t>=</w:t>
            </w:r>
            <w:r w:rsidRPr="00954ED1">
              <w:rPr>
                <w:sz w:val="18"/>
                <w:szCs w:val="18"/>
              </w:rPr>
              <w:t>政府债务</w:t>
            </w:r>
            <w:r w:rsidRPr="00954ED1">
              <w:rPr>
                <w:sz w:val="18"/>
                <w:szCs w:val="18"/>
              </w:rPr>
              <w:t>+</w:t>
            </w:r>
            <w:r w:rsidRPr="00954ED1">
              <w:rPr>
                <w:sz w:val="18"/>
                <w:szCs w:val="18"/>
              </w:rPr>
              <w:t>政府或有债务中需要财政资金偿还估算部分</w:t>
            </w:r>
          </w:p>
        </w:tc>
      </w:tr>
      <w:tr w:rsidR="009B269B" w:rsidRPr="00094226" w:rsidTr="00103FF9">
        <w:trPr>
          <w:trHeight w:val="369"/>
          <w:jc w:val="center"/>
        </w:trPr>
        <w:tc>
          <w:tcPr>
            <w:tcW w:w="5000" w:type="pct"/>
            <w:shd w:val="clear" w:color="auto" w:fill="FFFFFF"/>
            <w:vAlign w:val="center"/>
          </w:tcPr>
          <w:p w:rsidR="009B269B" w:rsidRPr="00954ED1" w:rsidRDefault="009B269B" w:rsidP="002B1718">
            <w:pPr>
              <w:tabs>
                <w:tab w:val="left" w:pos="720"/>
              </w:tabs>
              <w:adjustRightInd w:val="0"/>
              <w:snapToGrid w:val="0"/>
              <w:outlineLvl w:val="0"/>
              <w:rPr>
                <w:sz w:val="18"/>
                <w:szCs w:val="18"/>
              </w:rPr>
            </w:pPr>
            <w:r>
              <w:rPr>
                <w:rFonts w:hint="eastAsia"/>
                <w:sz w:val="18"/>
                <w:szCs w:val="18"/>
              </w:rPr>
              <w:t>11</w:t>
            </w:r>
            <w:r w:rsidRPr="00954ED1">
              <w:rPr>
                <w:sz w:val="18"/>
                <w:szCs w:val="18"/>
              </w:rPr>
              <w:t>、政府债务率</w:t>
            </w:r>
            <w:r w:rsidRPr="00954ED1">
              <w:rPr>
                <w:sz w:val="18"/>
                <w:szCs w:val="18"/>
              </w:rPr>
              <w:t>=</w:t>
            </w:r>
            <w:r w:rsidRPr="00954ED1">
              <w:rPr>
                <w:sz w:val="18"/>
                <w:szCs w:val="18"/>
              </w:rPr>
              <w:t>政府债务余额</w:t>
            </w:r>
            <w:r w:rsidRPr="00954ED1">
              <w:rPr>
                <w:sz w:val="18"/>
                <w:szCs w:val="18"/>
              </w:rPr>
              <w:t>/</w:t>
            </w:r>
            <w:r w:rsidRPr="00954ED1">
              <w:rPr>
                <w:sz w:val="18"/>
                <w:szCs w:val="18"/>
              </w:rPr>
              <w:t>地方政府综合财力</w:t>
            </w:r>
            <w:r w:rsidRPr="00954ED1">
              <w:rPr>
                <w:sz w:val="18"/>
                <w:szCs w:val="18"/>
              </w:rPr>
              <w:t>*100%</w:t>
            </w:r>
          </w:p>
        </w:tc>
      </w:tr>
      <w:tr w:rsidR="009B269B" w:rsidRPr="00094226" w:rsidTr="00103FF9">
        <w:trPr>
          <w:trHeight w:val="369"/>
          <w:jc w:val="center"/>
        </w:trPr>
        <w:tc>
          <w:tcPr>
            <w:tcW w:w="5000" w:type="pct"/>
            <w:shd w:val="clear" w:color="auto" w:fill="D3EDFB"/>
            <w:vAlign w:val="center"/>
          </w:tcPr>
          <w:p w:rsidR="009B269B" w:rsidRPr="00954ED1" w:rsidRDefault="009B269B" w:rsidP="002B1718">
            <w:pPr>
              <w:tabs>
                <w:tab w:val="left" w:pos="720"/>
              </w:tabs>
              <w:adjustRightInd w:val="0"/>
              <w:snapToGrid w:val="0"/>
              <w:outlineLvl w:val="0"/>
              <w:rPr>
                <w:sz w:val="18"/>
                <w:szCs w:val="18"/>
              </w:rPr>
            </w:pPr>
            <w:r>
              <w:rPr>
                <w:rFonts w:hint="eastAsia"/>
                <w:sz w:val="18"/>
                <w:szCs w:val="18"/>
              </w:rPr>
              <w:t>12</w:t>
            </w:r>
            <w:r w:rsidRPr="00954ED1">
              <w:rPr>
                <w:sz w:val="18"/>
                <w:szCs w:val="18"/>
              </w:rPr>
              <w:t>、折算后政府总债务率</w:t>
            </w:r>
            <w:r w:rsidRPr="00954ED1">
              <w:rPr>
                <w:sz w:val="18"/>
                <w:szCs w:val="18"/>
              </w:rPr>
              <w:t>=</w:t>
            </w:r>
            <w:r w:rsidRPr="00954ED1">
              <w:rPr>
                <w:sz w:val="18"/>
                <w:szCs w:val="18"/>
              </w:rPr>
              <w:t>折算后政府性债务余额</w:t>
            </w:r>
            <w:r w:rsidRPr="00954ED1">
              <w:rPr>
                <w:sz w:val="18"/>
                <w:szCs w:val="18"/>
              </w:rPr>
              <w:t>/</w:t>
            </w:r>
            <w:r w:rsidRPr="00954ED1">
              <w:rPr>
                <w:sz w:val="18"/>
                <w:szCs w:val="18"/>
              </w:rPr>
              <w:t>地方政府综合财力</w:t>
            </w:r>
            <w:r w:rsidRPr="00954ED1">
              <w:rPr>
                <w:sz w:val="18"/>
                <w:szCs w:val="18"/>
              </w:rPr>
              <w:t>*100%</w:t>
            </w:r>
          </w:p>
        </w:tc>
      </w:tr>
      <w:tr w:rsidR="009B269B" w:rsidRPr="00094226" w:rsidTr="00103FF9">
        <w:trPr>
          <w:trHeight w:val="369"/>
          <w:jc w:val="center"/>
        </w:trPr>
        <w:tc>
          <w:tcPr>
            <w:tcW w:w="5000" w:type="pct"/>
            <w:shd w:val="clear" w:color="auto" w:fill="auto"/>
            <w:vAlign w:val="center"/>
          </w:tcPr>
          <w:p w:rsidR="009B269B" w:rsidRPr="00954ED1" w:rsidRDefault="009B269B" w:rsidP="002B1718">
            <w:pPr>
              <w:tabs>
                <w:tab w:val="left" w:pos="720"/>
              </w:tabs>
              <w:adjustRightInd w:val="0"/>
              <w:snapToGrid w:val="0"/>
              <w:outlineLvl w:val="0"/>
              <w:rPr>
                <w:sz w:val="18"/>
                <w:szCs w:val="18"/>
              </w:rPr>
            </w:pPr>
            <w:r>
              <w:rPr>
                <w:rFonts w:hint="eastAsia"/>
                <w:sz w:val="18"/>
                <w:szCs w:val="18"/>
              </w:rPr>
              <w:t>13</w:t>
            </w:r>
            <w:r w:rsidRPr="00954ED1">
              <w:rPr>
                <w:sz w:val="18"/>
                <w:szCs w:val="18"/>
              </w:rPr>
              <w:t>、地方政府偿债率</w:t>
            </w:r>
            <w:r w:rsidRPr="00954ED1">
              <w:rPr>
                <w:sz w:val="18"/>
                <w:szCs w:val="18"/>
              </w:rPr>
              <w:t>=</w:t>
            </w:r>
            <w:r w:rsidRPr="00954ED1">
              <w:rPr>
                <w:sz w:val="18"/>
                <w:szCs w:val="18"/>
              </w:rPr>
              <w:t>当年债务还本付息</w:t>
            </w:r>
            <w:r w:rsidRPr="00954ED1">
              <w:rPr>
                <w:sz w:val="18"/>
                <w:szCs w:val="18"/>
              </w:rPr>
              <w:t>/</w:t>
            </w:r>
            <w:r w:rsidRPr="00954ED1">
              <w:rPr>
                <w:sz w:val="18"/>
                <w:szCs w:val="18"/>
              </w:rPr>
              <w:t>地方政府综合财力</w:t>
            </w:r>
            <w:r w:rsidRPr="00954ED1">
              <w:rPr>
                <w:sz w:val="18"/>
                <w:szCs w:val="18"/>
              </w:rPr>
              <w:t>*100%</w:t>
            </w:r>
          </w:p>
        </w:tc>
      </w:tr>
      <w:tr w:rsidR="009B269B" w:rsidRPr="00094226" w:rsidTr="00103FF9">
        <w:trPr>
          <w:trHeight w:val="369"/>
          <w:jc w:val="center"/>
        </w:trPr>
        <w:tc>
          <w:tcPr>
            <w:tcW w:w="5000" w:type="pct"/>
            <w:shd w:val="clear" w:color="auto" w:fill="D3EDFB"/>
            <w:vAlign w:val="center"/>
          </w:tcPr>
          <w:p w:rsidR="009B269B" w:rsidRPr="00954ED1" w:rsidRDefault="009B269B" w:rsidP="002B1718">
            <w:pPr>
              <w:tabs>
                <w:tab w:val="left" w:pos="720"/>
              </w:tabs>
              <w:adjustRightInd w:val="0"/>
              <w:snapToGrid w:val="0"/>
              <w:outlineLvl w:val="0"/>
              <w:rPr>
                <w:sz w:val="18"/>
                <w:szCs w:val="18"/>
              </w:rPr>
            </w:pPr>
            <w:r>
              <w:rPr>
                <w:rFonts w:hint="eastAsia"/>
                <w:sz w:val="18"/>
                <w:szCs w:val="18"/>
              </w:rPr>
              <w:t>14</w:t>
            </w:r>
            <w:r w:rsidRPr="00954ED1">
              <w:rPr>
                <w:sz w:val="18"/>
                <w:szCs w:val="18"/>
              </w:rPr>
              <w:t>、地方政府新增债务率</w:t>
            </w:r>
            <w:r w:rsidRPr="00954ED1">
              <w:rPr>
                <w:sz w:val="18"/>
                <w:szCs w:val="18"/>
              </w:rPr>
              <w:t>=</w:t>
            </w:r>
            <w:r w:rsidRPr="00954ED1">
              <w:rPr>
                <w:sz w:val="18"/>
                <w:szCs w:val="18"/>
              </w:rPr>
              <w:t>新增债务额</w:t>
            </w:r>
            <w:r w:rsidRPr="00954ED1">
              <w:rPr>
                <w:sz w:val="18"/>
                <w:szCs w:val="18"/>
              </w:rPr>
              <w:t>/</w:t>
            </w:r>
            <w:r w:rsidRPr="00954ED1">
              <w:rPr>
                <w:sz w:val="18"/>
                <w:szCs w:val="18"/>
              </w:rPr>
              <w:t>地方政府综合财力增量</w:t>
            </w:r>
            <w:r w:rsidRPr="00954ED1">
              <w:rPr>
                <w:sz w:val="18"/>
                <w:szCs w:val="18"/>
              </w:rPr>
              <w:t>*100%</w:t>
            </w:r>
          </w:p>
        </w:tc>
      </w:tr>
    </w:tbl>
    <w:p w:rsidR="00B12D88" w:rsidRPr="000A0937" w:rsidRDefault="00B12D88" w:rsidP="0086308A">
      <w:pPr>
        <w:spacing w:afterLines="50" w:after="156" w:line="240" w:lineRule="exact"/>
        <w:ind w:leftChars="-46" w:left="1" w:hangingChars="65" w:hanging="98"/>
        <w:rPr>
          <w:rFonts w:ascii="黑体" w:eastAsia="黑体" w:hAnsi="黑体"/>
          <w:kern w:val="0"/>
          <w:sz w:val="15"/>
          <w:szCs w:val="15"/>
        </w:rPr>
      </w:pPr>
      <w:r w:rsidRPr="000A0937">
        <w:rPr>
          <w:rFonts w:ascii="黑体" w:eastAsia="黑体" w:hAnsi="黑体"/>
          <w:kern w:val="0"/>
          <w:sz w:val="15"/>
          <w:szCs w:val="15"/>
        </w:rPr>
        <w:t>注：综合财力计算口径与审计署</w:t>
      </w:r>
      <w:r w:rsidR="00416DED" w:rsidRPr="00416DED">
        <w:rPr>
          <w:rFonts w:ascii="黑体" w:eastAsia="黑体" w:hAnsi="黑体" w:hint="eastAsia"/>
          <w:kern w:val="0"/>
          <w:sz w:val="15"/>
          <w:szCs w:val="15"/>
        </w:rPr>
        <w:t>政府债务和</w:t>
      </w:r>
      <w:proofErr w:type="gramStart"/>
      <w:r w:rsidR="00416DED" w:rsidRPr="00416DED">
        <w:rPr>
          <w:rFonts w:ascii="黑体" w:eastAsia="黑体" w:hAnsi="黑体" w:hint="eastAsia"/>
          <w:kern w:val="0"/>
          <w:sz w:val="15"/>
          <w:szCs w:val="15"/>
        </w:rPr>
        <w:t>或</w:t>
      </w:r>
      <w:proofErr w:type="gramEnd"/>
      <w:r w:rsidR="00416DED" w:rsidRPr="00416DED">
        <w:rPr>
          <w:rFonts w:ascii="黑体" w:eastAsia="黑体" w:hAnsi="黑体" w:hint="eastAsia"/>
          <w:kern w:val="0"/>
          <w:sz w:val="15"/>
          <w:szCs w:val="15"/>
        </w:rPr>
        <w:t>有债务</w:t>
      </w:r>
      <w:r w:rsidRPr="000A0937">
        <w:rPr>
          <w:rFonts w:ascii="黑体" w:eastAsia="黑体" w:hAnsi="黑体"/>
          <w:kern w:val="0"/>
          <w:sz w:val="15"/>
          <w:szCs w:val="15"/>
        </w:rPr>
        <w:t>审计中综合财力存在一定差异。</w:t>
      </w:r>
    </w:p>
    <w:p w:rsidR="00B12D88" w:rsidRPr="00094226" w:rsidRDefault="00B12D88" w:rsidP="00B12D88">
      <w:pPr>
        <w:tabs>
          <w:tab w:val="left" w:pos="720"/>
        </w:tabs>
        <w:adjustRightInd w:val="0"/>
        <w:snapToGrid w:val="0"/>
        <w:spacing w:line="300" w:lineRule="auto"/>
        <w:jc w:val="left"/>
        <w:outlineLvl w:val="0"/>
        <w:rPr>
          <w:rFonts w:eastAsia="黑体"/>
          <w:b/>
          <w:sz w:val="24"/>
        </w:rPr>
      </w:pPr>
      <w:r w:rsidRPr="00094226">
        <w:rPr>
          <w:rFonts w:eastAsia="黑体"/>
          <w:sz w:val="28"/>
        </w:rPr>
        <w:br w:type="page"/>
      </w:r>
      <w:r w:rsidRPr="00094226">
        <w:rPr>
          <w:rFonts w:eastAsia="黑体"/>
          <w:b/>
          <w:sz w:val="24"/>
        </w:rPr>
        <w:lastRenderedPageBreak/>
        <w:t>附件四：</w:t>
      </w:r>
    </w:p>
    <w:p w:rsidR="00B12D88" w:rsidRPr="00094226" w:rsidRDefault="00B12D88" w:rsidP="00B12D88">
      <w:pPr>
        <w:adjustRightInd w:val="0"/>
        <w:snapToGrid w:val="0"/>
        <w:spacing w:line="300" w:lineRule="auto"/>
        <w:jc w:val="center"/>
        <w:outlineLvl w:val="0"/>
        <w:rPr>
          <w:rFonts w:eastAsia="黑体"/>
          <w:b/>
          <w:sz w:val="32"/>
        </w:rPr>
      </w:pPr>
      <w:r w:rsidRPr="00094226">
        <w:rPr>
          <w:rFonts w:eastAsia="黑体"/>
          <w:b/>
          <w:sz w:val="32"/>
        </w:rPr>
        <w:t>跟踪评级安排</w:t>
      </w:r>
    </w:p>
    <w:p w:rsidR="00B12D88" w:rsidRPr="00094226" w:rsidRDefault="00B12D88" w:rsidP="00B12D88">
      <w:pPr>
        <w:tabs>
          <w:tab w:val="num" w:pos="945"/>
        </w:tabs>
        <w:snapToGrid w:val="0"/>
        <w:spacing w:line="360" w:lineRule="auto"/>
        <w:ind w:firstLineChars="200" w:firstLine="480"/>
        <w:rPr>
          <w:kern w:val="0"/>
          <w:sz w:val="24"/>
        </w:rPr>
      </w:pPr>
      <w:r w:rsidRPr="00094226">
        <w:rPr>
          <w:kern w:val="0"/>
          <w:sz w:val="24"/>
        </w:rPr>
        <w:t>中债资信评估有限责任公司（以下简称</w:t>
      </w:r>
      <w:r>
        <w:rPr>
          <w:rFonts w:hint="eastAsia"/>
          <w:kern w:val="0"/>
          <w:sz w:val="24"/>
        </w:rPr>
        <w:t>“</w:t>
      </w:r>
      <w:r w:rsidRPr="00094226">
        <w:rPr>
          <w:kern w:val="0"/>
          <w:sz w:val="24"/>
        </w:rPr>
        <w:t>中债资信</w:t>
      </w:r>
      <w:r>
        <w:rPr>
          <w:rFonts w:hint="eastAsia"/>
          <w:kern w:val="0"/>
          <w:sz w:val="24"/>
        </w:rPr>
        <w:t>”</w:t>
      </w:r>
      <w:r w:rsidRPr="00094226">
        <w:rPr>
          <w:kern w:val="0"/>
          <w:sz w:val="24"/>
        </w:rPr>
        <w:t>）将在</w:t>
      </w:r>
      <w:r w:rsidR="00F91B23" w:rsidRPr="00094226">
        <w:rPr>
          <w:kern w:val="0"/>
          <w:sz w:val="24"/>
        </w:rPr>
        <w:t>201</w:t>
      </w:r>
      <w:r w:rsidR="00F91B23">
        <w:rPr>
          <w:rFonts w:hint="eastAsia"/>
          <w:kern w:val="0"/>
          <w:sz w:val="24"/>
        </w:rPr>
        <w:t>6</w:t>
      </w:r>
      <w:r w:rsidRPr="00ED419A">
        <w:rPr>
          <w:kern w:val="0"/>
          <w:sz w:val="24"/>
        </w:rPr>
        <w:t>年</w:t>
      </w:r>
      <w:r w:rsidR="00F91B23">
        <w:rPr>
          <w:rFonts w:hint="eastAsia"/>
          <w:kern w:val="0"/>
          <w:sz w:val="24"/>
        </w:rPr>
        <w:t>第一</w:t>
      </w:r>
      <w:r w:rsidRPr="00ED419A">
        <w:rPr>
          <w:rFonts w:hint="eastAsia"/>
          <w:kern w:val="0"/>
          <w:sz w:val="24"/>
        </w:rPr>
        <w:t>批</w:t>
      </w:r>
      <w:r w:rsidRPr="00ED419A">
        <w:rPr>
          <w:kern w:val="0"/>
          <w:sz w:val="24"/>
        </w:rPr>
        <w:t>江苏</w:t>
      </w:r>
      <w:r w:rsidRPr="00094226">
        <w:rPr>
          <w:kern w:val="0"/>
          <w:sz w:val="24"/>
        </w:rPr>
        <w:t>省政府一般债券有效期内，对受评债券的信用状况进行持续跟踪监测，并根据评级信息获取的情况决定是否出具跟踪评级报告。</w:t>
      </w:r>
    </w:p>
    <w:p w:rsidR="00B12D88" w:rsidRPr="00094226" w:rsidRDefault="00B12D88" w:rsidP="00B12D88">
      <w:pPr>
        <w:tabs>
          <w:tab w:val="num" w:pos="945"/>
        </w:tabs>
        <w:snapToGrid w:val="0"/>
        <w:spacing w:line="360" w:lineRule="auto"/>
        <w:ind w:firstLineChars="200" w:firstLine="480"/>
        <w:rPr>
          <w:kern w:val="0"/>
          <w:sz w:val="24"/>
        </w:rPr>
      </w:pPr>
      <w:r w:rsidRPr="00094226">
        <w:rPr>
          <w:kern w:val="0"/>
          <w:sz w:val="24"/>
        </w:rPr>
        <w:t>中债资信将持续关注受评债券的信用品质，并尽最大可能收集和了解影响受评债券信用品质变化的相关信息。如中债资信了解到受评债券发生可能影响信用等级的重大事件，中债资信将就该事项进行实地调查或电话访谈，确定是否要对信用等级进行调整；如受评债券发行主体不能及时配合提供必要的信息和资料，中债资信在确实无法获得有效评级信息的情况下，可暂时撤销信用等级。</w:t>
      </w:r>
    </w:p>
    <w:p w:rsidR="00B12D88" w:rsidRPr="003B4EB0" w:rsidRDefault="00B12D88" w:rsidP="00940BC0">
      <w:pPr>
        <w:widowControl/>
        <w:autoSpaceDE w:val="0"/>
        <w:autoSpaceDN w:val="0"/>
        <w:spacing w:beforeLines="150" w:before="468" w:afterLines="150" w:after="468" w:line="360" w:lineRule="auto"/>
        <w:jc w:val="center"/>
        <w:rPr>
          <w:rFonts w:eastAsia="黑体"/>
          <w:b/>
          <w:sz w:val="32"/>
        </w:rPr>
      </w:pPr>
      <w:r w:rsidRPr="00094226">
        <w:rPr>
          <w:rFonts w:eastAsia="黑体"/>
          <w:b/>
          <w:noProof/>
          <w:kern w:val="0"/>
          <w:sz w:val="24"/>
          <w:szCs w:val="20"/>
        </w:rPr>
        <w:br w:type="page"/>
      </w:r>
      <w:r w:rsidRPr="00094226">
        <w:rPr>
          <w:rFonts w:eastAsia="黑体"/>
          <w:b/>
          <w:sz w:val="32"/>
        </w:rPr>
        <w:lastRenderedPageBreak/>
        <w:t>信用评级报告声明</w:t>
      </w:r>
    </w:p>
    <w:p w:rsidR="00B12D88" w:rsidRPr="00094226" w:rsidRDefault="00B12D88" w:rsidP="00B12D88">
      <w:pPr>
        <w:snapToGrid w:val="0"/>
        <w:spacing w:line="360" w:lineRule="auto"/>
        <w:ind w:firstLineChars="200" w:firstLine="480"/>
        <w:rPr>
          <w:kern w:val="0"/>
          <w:sz w:val="24"/>
        </w:rPr>
      </w:pPr>
      <w:r w:rsidRPr="003B4EB0">
        <w:rPr>
          <w:kern w:val="0"/>
          <w:sz w:val="24"/>
        </w:rPr>
        <w:t>（一）中债资信评估有限责任公司（以下简称</w:t>
      </w:r>
      <w:r w:rsidRPr="003B4EB0">
        <w:rPr>
          <w:kern w:val="0"/>
          <w:sz w:val="24"/>
        </w:rPr>
        <w:t>“</w:t>
      </w:r>
      <w:r w:rsidRPr="003B4EB0">
        <w:rPr>
          <w:kern w:val="0"/>
          <w:sz w:val="24"/>
        </w:rPr>
        <w:t>中债资信</w:t>
      </w:r>
      <w:r w:rsidRPr="003B4EB0">
        <w:rPr>
          <w:kern w:val="0"/>
          <w:sz w:val="24"/>
        </w:rPr>
        <w:t>”</w:t>
      </w:r>
      <w:r w:rsidRPr="003B4EB0">
        <w:rPr>
          <w:kern w:val="0"/>
          <w:sz w:val="24"/>
        </w:rPr>
        <w:t>）对</w:t>
      </w:r>
      <w:r w:rsidR="00F91B23" w:rsidRPr="003B4EB0">
        <w:rPr>
          <w:kern w:val="0"/>
          <w:sz w:val="24"/>
        </w:rPr>
        <w:t>2016</w:t>
      </w:r>
      <w:r w:rsidRPr="003B4EB0">
        <w:rPr>
          <w:kern w:val="0"/>
          <w:sz w:val="24"/>
        </w:rPr>
        <w:t>年</w:t>
      </w:r>
      <w:r w:rsidR="00F91B23" w:rsidRPr="003B4EB0">
        <w:rPr>
          <w:kern w:val="0"/>
          <w:sz w:val="24"/>
        </w:rPr>
        <w:t>第一</w:t>
      </w:r>
      <w:r w:rsidRPr="003B4EB0">
        <w:rPr>
          <w:kern w:val="0"/>
          <w:sz w:val="24"/>
        </w:rPr>
        <w:t>批江苏省政府一般债券的信用等级评定是根据财政部《关于做好</w:t>
      </w:r>
      <w:r w:rsidR="005367BF" w:rsidRPr="003B4EB0">
        <w:rPr>
          <w:kern w:val="0"/>
          <w:sz w:val="24"/>
        </w:rPr>
        <w:t>2016</w:t>
      </w:r>
      <w:r w:rsidRPr="003B4EB0">
        <w:rPr>
          <w:kern w:val="0"/>
          <w:sz w:val="24"/>
        </w:rPr>
        <w:t>年地方政府一般债券发行工作的通知》，以中债资信的评级方法为依据，在参考评级模型处理结果的</w:t>
      </w:r>
      <w:r w:rsidRPr="00094226">
        <w:rPr>
          <w:kern w:val="0"/>
          <w:sz w:val="24"/>
        </w:rPr>
        <w:t>基础上，通过信用评审委员的专业经验判断而确定的。</w:t>
      </w:r>
    </w:p>
    <w:p w:rsidR="00B12D88" w:rsidRPr="00094226" w:rsidRDefault="00B12D88" w:rsidP="00B12D88">
      <w:pPr>
        <w:tabs>
          <w:tab w:val="num" w:pos="945"/>
        </w:tabs>
        <w:snapToGrid w:val="0"/>
        <w:spacing w:line="360" w:lineRule="auto"/>
        <w:ind w:firstLineChars="200" w:firstLine="480"/>
        <w:rPr>
          <w:kern w:val="0"/>
          <w:sz w:val="24"/>
        </w:rPr>
      </w:pPr>
      <w:r w:rsidRPr="00094226">
        <w:rPr>
          <w:kern w:val="0"/>
          <w:sz w:val="24"/>
        </w:rPr>
        <w:t>（二）中债资信所评定的受评债券信用等级仅反映受评债券信用风险的大小，并非是对其是否违约的直接判断。</w:t>
      </w:r>
    </w:p>
    <w:p w:rsidR="00B12D88" w:rsidRPr="00094226" w:rsidRDefault="00B12D88" w:rsidP="00B12D88">
      <w:pPr>
        <w:tabs>
          <w:tab w:val="num" w:pos="945"/>
        </w:tabs>
        <w:snapToGrid w:val="0"/>
        <w:spacing w:line="360" w:lineRule="auto"/>
        <w:ind w:firstLineChars="200" w:firstLine="480"/>
        <w:rPr>
          <w:kern w:val="0"/>
          <w:sz w:val="24"/>
        </w:rPr>
      </w:pPr>
      <w:r w:rsidRPr="00094226">
        <w:rPr>
          <w:kern w:val="0"/>
          <w:sz w:val="24"/>
        </w:rPr>
        <w:t>（三）</w:t>
      </w:r>
      <w:r w:rsidRPr="00094226">
        <w:rPr>
          <w:kern w:val="0"/>
          <w:sz w:val="24"/>
          <w:szCs w:val="20"/>
        </w:rPr>
        <w:t>中债资信对受评债券信用风险的判断是建立在中债资信对宏观经济环境预测基础之上，综合考虑债券发行主体当前的经济实力、财政实力、债务状况、政府治理水平、地区金融生态环境评价、外部支持和</w:t>
      </w:r>
      <w:r>
        <w:rPr>
          <w:kern w:val="0"/>
          <w:sz w:val="24"/>
          <w:szCs w:val="20"/>
        </w:rPr>
        <w:t>本批债券</w:t>
      </w:r>
      <w:r w:rsidRPr="00094226">
        <w:rPr>
          <w:kern w:val="0"/>
          <w:sz w:val="24"/>
          <w:szCs w:val="20"/>
        </w:rPr>
        <w:t>偿还保障措施等因素后对受评债券未来偿还能力的综合评估，而不是仅反映评级时点受评债券的信用品质。</w:t>
      </w:r>
    </w:p>
    <w:p w:rsidR="00B12D88" w:rsidRPr="00094226" w:rsidRDefault="00B12D88" w:rsidP="00B12D88">
      <w:pPr>
        <w:tabs>
          <w:tab w:val="num" w:pos="945"/>
        </w:tabs>
        <w:snapToGrid w:val="0"/>
        <w:spacing w:line="360" w:lineRule="auto"/>
        <w:ind w:firstLineChars="200" w:firstLine="480"/>
        <w:rPr>
          <w:kern w:val="0"/>
          <w:sz w:val="24"/>
        </w:rPr>
      </w:pPr>
      <w:r w:rsidRPr="00094226">
        <w:rPr>
          <w:kern w:val="0"/>
          <w:sz w:val="24"/>
        </w:rPr>
        <w:t>（四）中债资信及其相关信用评级分析师、信用评审委员与受评债券发行主体之间，不存在任何影响评级客观、独立、公正的关联关系；本报告的评级结论是中债资信依据合理的内部信用评级标准和程序做出的独立判断，中债资信有充分理由保证所出具的评级报告遵循了客观、独立、公正的原则，未因受评债券发行主体和其他任何组织或个人的不当影响改变评级意见。</w:t>
      </w:r>
    </w:p>
    <w:p w:rsidR="00B12D88" w:rsidRPr="00094226" w:rsidRDefault="00B12D88" w:rsidP="00B12D88">
      <w:pPr>
        <w:tabs>
          <w:tab w:val="num" w:pos="945"/>
        </w:tabs>
        <w:snapToGrid w:val="0"/>
        <w:spacing w:line="360" w:lineRule="auto"/>
        <w:ind w:firstLineChars="200" w:firstLine="480"/>
        <w:rPr>
          <w:kern w:val="0"/>
          <w:sz w:val="24"/>
        </w:rPr>
      </w:pPr>
      <w:r w:rsidRPr="00094226">
        <w:rPr>
          <w:kern w:val="0"/>
          <w:sz w:val="24"/>
        </w:rPr>
        <w:t>（五）本报告用于相关决策参考，并非是某种决策的结论、建议等。</w:t>
      </w:r>
    </w:p>
    <w:p w:rsidR="00B12D88" w:rsidRPr="00094226" w:rsidRDefault="00B12D88" w:rsidP="00B12D88">
      <w:pPr>
        <w:tabs>
          <w:tab w:val="num" w:pos="945"/>
        </w:tabs>
        <w:snapToGrid w:val="0"/>
        <w:spacing w:line="360" w:lineRule="auto"/>
        <w:ind w:firstLineChars="200" w:firstLine="480"/>
        <w:rPr>
          <w:kern w:val="0"/>
          <w:sz w:val="24"/>
        </w:rPr>
      </w:pPr>
      <w:r w:rsidRPr="00094226">
        <w:rPr>
          <w:kern w:val="0"/>
          <w:sz w:val="24"/>
        </w:rPr>
        <w:t>（六）本报告中引用的相关资料主要来自债券发行主体提供以及公开信息，中债资信无法对所引用资料的真实性及完整性负责。</w:t>
      </w:r>
    </w:p>
    <w:p w:rsidR="00B12D88" w:rsidRPr="00094226" w:rsidRDefault="00B12D88" w:rsidP="00B12D88">
      <w:pPr>
        <w:tabs>
          <w:tab w:val="num" w:pos="945"/>
        </w:tabs>
        <w:snapToGrid w:val="0"/>
        <w:spacing w:line="360" w:lineRule="auto"/>
        <w:ind w:firstLineChars="200" w:firstLine="480"/>
        <w:rPr>
          <w:kern w:val="0"/>
          <w:sz w:val="24"/>
        </w:rPr>
      </w:pPr>
      <w:r w:rsidRPr="00094226">
        <w:rPr>
          <w:kern w:val="0"/>
          <w:sz w:val="24"/>
        </w:rPr>
        <w:t>（七）本报告所采用的评级符号体系仅适用于中债资信针对中国区域（不含港澳台）的信用评级业务，与非依据该区域评级符号体系得出的评级结果不具有可比性。</w:t>
      </w:r>
    </w:p>
    <w:p w:rsidR="00B12D88" w:rsidRPr="00094226" w:rsidRDefault="00B12D88" w:rsidP="00B12D88">
      <w:pPr>
        <w:tabs>
          <w:tab w:val="num" w:pos="945"/>
        </w:tabs>
        <w:snapToGrid w:val="0"/>
        <w:spacing w:line="360" w:lineRule="auto"/>
        <w:ind w:firstLineChars="200" w:firstLine="480"/>
        <w:rPr>
          <w:kern w:val="0"/>
          <w:sz w:val="24"/>
        </w:rPr>
      </w:pPr>
      <w:r w:rsidRPr="00094226">
        <w:rPr>
          <w:kern w:val="0"/>
          <w:sz w:val="24"/>
        </w:rPr>
        <w:t>（八）本报告所评定的信用等级在债券存续期内有效；在有效期内，该信用等级有可能根据中债资信跟踪评级的结论发生变化。</w:t>
      </w:r>
    </w:p>
    <w:p w:rsidR="00B12D88" w:rsidRPr="00094226" w:rsidRDefault="00B12D88" w:rsidP="00B12D88">
      <w:pPr>
        <w:tabs>
          <w:tab w:val="num" w:pos="945"/>
        </w:tabs>
        <w:snapToGrid w:val="0"/>
        <w:spacing w:line="360" w:lineRule="auto"/>
        <w:ind w:firstLineChars="200" w:firstLine="480"/>
        <w:rPr>
          <w:rFonts w:eastAsia="黑体"/>
          <w:b/>
          <w:kern w:val="0"/>
          <w:sz w:val="24"/>
          <w:szCs w:val="20"/>
        </w:rPr>
      </w:pPr>
      <w:r w:rsidRPr="00094226">
        <w:rPr>
          <w:kern w:val="0"/>
          <w:sz w:val="24"/>
        </w:rPr>
        <w:t>（九）本报告版权归中债资信所有，未经书面许可，任何人不得对报告进行任何形式的发布和复制。</w:t>
      </w:r>
    </w:p>
    <w:p w:rsidR="005A5698" w:rsidRPr="00B12D88" w:rsidRDefault="005A5698" w:rsidP="0005097B">
      <w:pPr>
        <w:rPr>
          <w:rFonts w:eastAsia="楷体"/>
          <w:b/>
          <w:sz w:val="15"/>
          <w:szCs w:val="15"/>
        </w:rPr>
      </w:pPr>
    </w:p>
    <w:bookmarkEnd w:id="0"/>
    <w:bookmarkEnd w:id="1"/>
    <w:p w:rsidR="00B63C58" w:rsidRDefault="00B63C58" w:rsidP="00B12D88">
      <w:pPr>
        <w:tabs>
          <w:tab w:val="num" w:pos="945"/>
        </w:tabs>
        <w:snapToGrid w:val="0"/>
        <w:spacing w:line="360" w:lineRule="auto"/>
        <w:rPr>
          <w:rFonts w:eastAsia="黑体" w:hint="eastAsia"/>
          <w:b/>
          <w:kern w:val="0"/>
          <w:sz w:val="24"/>
          <w:szCs w:val="20"/>
        </w:rPr>
      </w:pPr>
    </w:p>
    <w:p w:rsidR="001D1C2A" w:rsidRPr="00094226" w:rsidRDefault="001D1C2A" w:rsidP="00B12D88">
      <w:pPr>
        <w:tabs>
          <w:tab w:val="num" w:pos="945"/>
        </w:tabs>
        <w:snapToGrid w:val="0"/>
        <w:spacing w:line="360" w:lineRule="auto"/>
        <w:rPr>
          <w:rFonts w:eastAsia="黑体"/>
          <w:b/>
          <w:kern w:val="0"/>
          <w:sz w:val="24"/>
          <w:szCs w:val="20"/>
        </w:rPr>
      </w:pPr>
      <w:bookmarkStart w:id="2" w:name="_GoBack"/>
      <w:r>
        <w:rPr>
          <w:rFonts w:eastAsia="黑体"/>
          <w:b/>
          <w:noProof/>
          <w:kern w:val="0"/>
          <w:sz w:val="24"/>
          <w:szCs w:val="20"/>
        </w:rPr>
        <w:lastRenderedPageBreak/>
        <w:drawing>
          <wp:anchor distT="0" distB="0" distL="114300" distR="114300" simplePos="0" relativeHeight="251660800" behindDoc="0" locked="0" layoutInCell="1" allowOverlap="1">
            <wp:simplePos x="0" y="0"/>
            <wp:positionH relativeFrom="column">
              <wp:posOffset>-635</wp:posOffset>
            </wp:positionH>
            <wp:positionV relativeFrom="paragraph">
              <wp:posOffset>1270</wp:posOffset>
            </wp:positionV>
            <wp:extent cx="7680325" cy="10799445"/>
            <wp:effectExtent l="0" t="0" r="0" b="1905"/>
            <wp:wrapTopAndBottom/>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封底.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680325" cy="10799445"/>
                    </a:xfrm>
                    <a:prstGeom prst="rect">
                      <a:avLst/>
                    </a:prstGeom>
                  </pic:spPr>
                </pic:pic>
              </a:graphicData>
            </a:graphic>
            <wp14:sizeRelH relativeFrom="page">
              <wp14:pctWidth>0</wp14:pctWidth>
            </wp14:sizeRelH>
            <wp14:sizeRelV relativeFrom="page">
              <wp14:pctHeight>0</wp14:pctHeight>
            </wp14:sizeRelV>
          </wp:anchor>
        </w:drawing>
      </w:r>
      <w:bookmarkEnd w:id="2"/>
    </w:p>
    <w:sectPr w:rsidR="001D1C2A" w:rsidRPr="00094226" w:rsidSect="00E21AD1">
      <w:headerReference w:type="default" r:id="rId15"/>
      <w:footerReference w:type="default" r:id="rId16"/>
      <w:pgSz w:w="11906" w:h="16838"/>
      <w:pgMar w:top="1843" w:right="1274" w:bottom="1510" w:left="1276" w:header="567" w:footer="408" w:gutter="0"/>
      <w:pgNumType w:start="1"/>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B306A" w:rsidRDefault="00BB306A">
      <w:r>
        <w:separator/>
      </w:r>
    </w:p>
  </w:endnote>
  <w:endnote w:type="continuationSeparator" w:id="0">
    <w:p w:rsidR="00BB306A" w:rsidRDefault="00BB30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黑体">
    <w:altName w:val="SimHei"/>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
    <w:altName w:val="Times New Roman"/>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楷体_GB2312">
    <w:altName w:val="楷体"/>
    <w:charset w:val="86"/>
    <w:family w:val="modern"/>
    <w:pitch w:val="fixed"/>
    <w:sig w:usb0="00000001" w:usb1="080E0000" w:usb2="00000010" w:usb3="00000000" w:csb0="00040000" w:csb1="00000000"/>
  </w:font>
  <w:font w:name="仿宋_GB2312">
    <w:charset w:val="86"/>
    <w:family w:val="modern"/>
    <w:pitch w:val="fixed"/>
    <w:sig w:usb0="00000001" w:usb1="080E0000" w:usb2="00000010" w:usb3="00000000" w:csb0="00040000" w:csb1="00000000"/>
  </w:font>
  <w:font w:name="华文细黑">
    <w:panose1 w:val="02010600040101010101"/>
    <w:charset w:val="86"/>
    <w:family w:val="auto"/>
    <w:pitch w:val="variable"/>
    <w:sig w:usb0="00000287" w:usb1="080F0000" w:usb2="00000010" w:usb3="00000000" w:csb0="0004009F" w:csb1="00000000"/>
  </w:font>
  <w:font w:name="Arial Unicode MS">
    <w:panose1 w:val="020B0604020202020204"/>
    <w:charset w:val="86"/>
    <w:family w:val="swiss"/>
    <w:pitch w:val="variable"/>
    <w:sig w:usb0="F7FFAFFF" w:usb1="E9DFFFFF" w:usb2="0000003F" w:usb3="00000000" w:csb0="003F01FF" w:csb1="00000000"/>
  </w:font>
  <w:font w:name="oúì.">
    <w:altName w:val="黑体"/>
    <w:charset w:val="86"/>
    <w:family w:val="auto"/>
    <w:pitch w:val="default"/>
    <w:sig w:usb0="00000001" w:usb1="080E0000" w:usb2="00000010" w:usb3="00000000" w:csb0="00040000" w:csb1="00000000"/>
  </w:font>
  <w:font w:name="幼圆">
    <w:panose1 w:val="02010509060101010101"/>
    <w:charset w:val="86"/>
    <w:family w:val="modern"/>
    <w:pitch w:val="fixed"/>
    <w:sig w:usb0="00000001" w:usb1="080E0000" w:usb2="00000010" w:usb3="00000000" w:csb0="00040000" w:csb1="00000000"/>
  </w:font>
  <w:font w:name="Century Gothic">
    <w:panose1 w:val="020B0502020202020204"/>
    <w:charset w:val="00"/>
    <w:family w:val="swiss"/>
    <w:pitch w:val="variable"/>
    <w:sig w:usb0="00000287" w:usb1="00000000" w:usb2="00000000" w:usb3="00000000" w:csb0="0000009F" w:csb1="00000000"/>
  </w:font>
  <w:font w:name="汉仪大黑简">
    <w:altName w:val="宋体"/>
    <w:charset w:val="86"/>
    <w:family w:val="auto"/>
    <w:pitch w:val="default"/>
    <w:sig w:usb0="00000001" w:usb1="080E0000" w:usb2="00000010" w:usb3="00000000" w:csb0="00040000" w:csb1="00000000"/>
  </w:font>
  <w:font w:name="汉仪楷体简">
    <w:altName w:val="宋体"/>
    <w:charset w:val="86"/>
    <w:family w:val="auto"/>
    <w:pitch w:val="default"/>
    <w:sig w:usb0="00000001" w:usb1="080E0000" w:usb2="00000010" w:usb3="00000000" w:csb0="00040000" w:csb1="00000000"/>
  </w:font>
  <w:font w:name="SC STKaiti">
    <w:altName w:val="宋体"/>
    <w:charset w:val="86"/>
    <w:family w:val="auto"/>
    <w:pitch w:val="default"/>
    <w:sig w:usb0="00000001" w:usb1="080E0000" w:usb2="00000010" w:usb3="00000000" w:csb0="00040000" w:csb1="00000000"/>
  </w:font>
  <w:font w:name="ˎ̥">
    <w:altName w:val="Times New Roman"/>
    <w:charset w:val="00"/>
    <w:family w:val="auto"/>
    <w:pitch w:val="default"/>
    <w:sig w:usb0="00000000" w:usb1="00000000" w:usb2="00000000" w:usb3="00000000" w:csb0="00040001" w:csb1="00000000"/>
  </w:font>
  <w:font w:name="华文楷体">
    <w:panose1 w:val="02010600040101010101"/>
    <w:charset w:val="86"/>
    <w:family w:val="auto"/>
    <w:pitch w:val="variable"/>
    <w:sig w:usb0="00000287" w:usb1="080F0000" w:usb2="00000010" w:usb3="00000000" w:csb0="0004009F" w:csb1="00000000"/>
  </w:font>
  <w:font w:name="楷体">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7F25" w:rsidRPr="0005097B" w:rsidRDefault="005E7F25" w:rsidP="0005097B">
    <w:pPr>
      <w:spacing w:line="180" w:lineRule="exact"/>
      <w:ind w:rightChars="1754" w:right="3683"/>
      <w:contextualSpacing/>
      <w:rPr>
        <w:i/>
        <w:sz w:val="13"/>
        <w:szCs w:val="13"/>
      </w:rPr>
    </w:pPr>
    <w:r>
      <w:rPr>
        <w:noProof/>
      </w:rPr>
      <mc:AlternateContent>
        <mc:Choice Requires="wps">
          <w:drawing>
            <wp:anchor distT="0" distB="0" distL="114300" distR="114300" simplePos="0" relativeHeight="251658752" behindDoc="0" locked="0" layoutInCell="1" allowOverlap="1" wp14:anchorId="4E144FA2" wp14:editId="7C3FC706">
              <wp:simplePos x="0" y="0"/>
              <wp:positionH relativeFrom="column">
                <wp:posOffset>4032885</wp:posOffset>
              </wp:positionH>
              <wp:positionV relativeFrom="paragraph">
                <wp:posOffset>-53340</wp:posOffset>
              </wp:positionV>
              <wp:extent cx="2466975" cy="254000"/>
              <wp:effectExtent l="0" t="0" r="0" b="0"/>
              <wp:wrapNone/>
              <wp:docPr id="12"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6975"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7F25" w:rsidRPr="00884C72" w:rsidRDefault="005E7F25" w:rsidP="00884C72">
                          <w:pPr>
                            <w:spacing w:line="240" w:lineRule="atLeast"/>
                            <w:jc w:val="right"/>
                            <w:rPr>
                              <w:rFonts w:ascii="宋体" w:hAnsi="宋体"/>
                              <w:b/>
                              <w:color w:val="0070C0"/>
                              <w:sz w:val="18"/>
                              <w:szCs w:val="18"/>
                            </w:rPr>
                          </w:pPr>
                          <w:r w:rsidRPr="004C5D8D">
                            <w:rPr>
                              <w:b/>
                              <w:color w:val="0070C0"/>
                              <w:sz w:val="18"/>
                              <w:szCs w:val="18"/>
                            </w:rPr>
                            <w:t>2</w:t>
                          </w:r>
                          <w:r>
                            <w:rPr>
                              <w:b/>
                              <w:color w:val="0070C0"/>
                              <w:sz w:val="18"/>
                              <w:szCs w:val="18"/>
                            </w:rPr>
                            <w:t>01</w:t>
                          </w:r>
                          <w:r>
                            <w:rPr>
                              <w:rFonts w:hint="eastAsia"/>
                              <w:b/>
                              <w:color w:val="0070C0"/>
                              <w:sz w:val="18"/>
                              <w:szCs w:val="18"/>
                            </w:rPr>
                            <w:t>6</w:t>
                          </w:r>
                          <w:r w:rsidRPr="004C5D8D">
                            <w:rPr>
                              <w:b/>
                              <w:color w:val="0070C0"/>
                              <w:sz w:val="18"/>
                              <w:szCs w:val="18"/>
                            </w:rPr>
                            <w:t>年</w:t>
                          </w:r>
                          <w:r>
                            <w:rPr>
                              <w:rFonts w:hint="eastAsia"/>
                              <w:b/>
                              <w:color w:val="0070C0"/>
                              <w:sz w:val="18"/>
                              <w:szCs w:val="18"/>
                            </w:rPr>
                            <w:t>第一批</w:t>
                          </w:r>
                          <w:r w:rsidRPr="004C5D8D">
                            <w:rPr>
                              <w:rFonts w:ascii="宋体" w:hAnsi="宋体" w:hint="eastAsia"/>
                              <w:b/>
                              <w:color w:val="0070C0"/>
                              <w:sz w:val="18"/>
                              <w:szCs w:val="18"/>
                            </w:rPr>
                            <w:t>江苏省政府</w:t>
                          </w:r>
                          <w:r>
                            <w:rPr>
                              <w:rFonts w:ascii="宋体" w:hAnsi="宋体" w:hint="eastAsia"/>
                              <w:b/>
                              <w:color w:val="0070C0"/>
                              <w:sz w:val="18"/>
                              <w:szCs w:val="18"/>
                            </w:rPr>
                            <w:t>一般</w:t>
                          </w:r>
                          <w:r w:rsidRPr="004C5D8D">
                            <w:rPr>
                              <w:rFonts w:ascii="宋体" w:hAnsi="宋体" w:hint="eastAsia"/>
                              <w:b/>
                              <w:color w:val="0070C0"/>
                              <w:sz w:val="18"/>
                              <w:szCs w:val="18"/>
                            </w:rPr>
                            <w:t>债券</w:t>
                          </w:r>
                          <w:r w:rsidRPr="004C5D8D">
                            <w:rPr>
                              <w:rFonts w:ascii="宋体" w:hAnsi="宋体"/>
                              <w:b/>
                              <w:color w:val="0070C0"/>
                              <w:sz w:val="18"/>
                              <w:szCs w:val="18"/>
                            </w:rPr>
                            <w:t>信用评级</w:t>
                          </w:r>
                        </w:p>
                        <w:p w:rsidR="005E7F25" w:rsidRPr="00884C72" w:rsidRDefault="005E7F25" w:rsidP="004D3BE8">
                          <w:pPr>
                            <w:spacing w:line="240" w:lineRule="atLeast"/>
                            <w:jc w:val="right"/>
                            <w:rPr>
                              <w:rFonts w:ascii="宋体"/>
                              <w:b/>
                              <w:color w:val="0070C0"/>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8" o:spid="_x0000_s1029" type="#_x0000_t202" style="position:absolute;left:0;text-align:left;margin-left:317.55pt;margin-top:-4.2pt;width:194.25pt;height:20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" filled="f" stroked="f">
              <v:textbox>
                <w:txbxContent>
                  <w:p w:rsidR="005E7F25" w:rsidRPr="00884C72" w:rsidRDefault="005E7F25" w:rsidP="00884C72">
                    <w:pPr>
                      <w:spacing w:line="240" w:lineRule="atLeast"/>
                      <w:jc w:val="right"/>
                      <w:rPr>
                        <w:rFonts w:ascii="宋体" w:hAnsi="宋体"/>
                        <w:b/>
                        <w:color w:val="0070C0"/>
                        <w:sz w:val="18"/>
                        <w:szCs w:val="18"/>
                      </w:rPr>
                    </w:pPr>
                    <w:r w:rsidRPr="004C5D8D">
                      <w:rPr>
                        <w:b/>
                        <w:color w:val="0070C0"/>
                        <w:sz w:val="18"/>
                        <w:szCs w:val="18"/>
                      </w:rPr>
                      <w:t>2</w:t>
                    </w:r>
                    <w:r>
                      <w:rPr>
                        <w:b/>
                        <w:color w:val="0070C0"/>
                        <w:sz w:val="18"/>
                        <w:szCs w:val="18"/>
                      </w:rPr>
                      <w:t>01</w:t>
                    </w:r>
                    <w:r>
                      <w:rPr>
                        <w:rFonts w:hint="eastAsia"/>
                        <w:b/>
                        <w:color w:val="0070C0"/>
                        <w:sz w:val="18"/>
                        <w:szCs w:val="18"/>
                      </w:rPr>
                      <w:t>6</w:t>
                    </w:r>
                    <w:r w:rsidRPr="004C5D8D">
                      <w:rPr>
                        <w:b/>
                        <w:color w:val="0070C0"/>
                        <w:sz w:val="18"/>
                        <w:szCs w:val="18"/>
                      </w:rPr>
                      <w:t>年</w:t>
                    </w:r>
                    <w:r>
                      <w:rPr>
                        <w:rFonts w:hint="eastAsia"/>
                        <w:b/>
                        <w:color w:val="0070C0"/>
                        <w:sz w:val="18"/>
                        <w:szCs w:val="18"/>
                      </w:rPr>
                      <w:t>第一批</w:t>
                    </w:r>
                    <w:r w:rsidRPr="004C5D8D">
                      <w:rPr>
                        <w:rFonts w:ascii="宋体" w:hAnsi="宋体" w:hint="eastAsia"/>
                        <w:b/>
                        <w:color w:val="0070C0"/>
                        <w:sz w:val="18"/>
                        <w:szCs w:val="18"/>
                      </w:rPr>
                      <w:t>江苏省政府</w:t>
                    </w:r>
                    <w:r>
                      <w:rPr>
                        <w:rFonts w:ascii="宋体" w:hAnsi="宋体" w:hint="eastAsia"/>
                        <w:b/>
                        <w:color w:val="0070C0"/>
                        <w:sz w:val="18"/>
                        <w:szCs w:val="18"/>
                      </w:rPr>
                      <w:t>一般</w:t>
                    </w:r>
                    <w:r w:rsidRPr="004C5D8D">
                      <w:rPr>
                        <w:rFonts w:ascii="宋体" w:hAnsi="宋体" w:hint="eastAsia"/>
                        <w:b/>
                        <w:color w:val="0070C0"/>
                        <w:sz w:val="18"/>
                        <w:szCs w:val="18"/>
                      </w:rPr>
                      <w:t>债券</w:t>
                    </w:r>
                    <w:r w:rsidRPr="004C5D8D">
                      <w:rPr>
                        <w:rFonts w:ascii="宋体" w:hAnsi="宋体"/>
                        <w:b/>
                        <w:color w:val="0070C0"/>
                        <w:sz w:val="18"/>
                        <w:szCs w:val="18"/>
                      </w:rPr>
                      <w:t>信用评级</w:t>
                    </w:r>
                  </w:p>
                  <w:p w:rsidR="005E7F25" w:rsidRPr="00884C72" w:rsidRDefault="005E7F25" w:rsidP="004D3BE8">
                    <w:pPr>
                      <w:spacing w:line="240" w:lineRule="atLeast"/>
                      <w:jc w:val="right"/>
                      <w:rPr>
                        <w:rFonts w:ascii="宋体"/>
                        <w:b/>
                        <w:color w:val="0070C0"/>
                        <w:sz w:val="18"/>
                        <w:szCs w:val="18"/>
                      </w:rPr>
                    </w:pPr>
                  </w:p>
                </w:txbxContent>
              </v:textbox>
            </v:shape>
          </w:pict>
        </mc:Fallback>
      </mc:AlternateContent>
    </w:r>
    <w:r>
      <w:rPr>
        <w:noProof/>
      </w:rPr>
      <mc:AlternateContent>
        <mc:Choice Requires="wps">
          <w:drawing>
            <wp:anchor distT="4294967292" distB="4294967292" distL="114300" distR="114300" simplePos="0" relativeHeight="251659776" behindDoc="0" locked="0" layoutInCell="1" allowOverlap="1" wp14:anchorId="35C334D4" wp14:editId="1CCE8867">
              <wp:simplePos x="0" y="0"/>
              <wp:positionH relativeFrom="column">
                <wp:posOffset>-249555</wp:posOffset>
              </wp:positionH>
              <wp:positionV relativeFrom="paragraph">
                <wp:posOffset>-106046</wp:posOffset>
              </wp:positionV>
              <wp:extent cx="6750050" cy="0"/>
              <wp:effectExtent l="0" t="0" r="12700" b="19050"/>
              <wp:wrapNone/>
              <wp:docPr id="1" name="Lin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50050" cy="0"/>
                      </a:xfrm>
                      <a:prstGeom prst="line">
                        <a:avLst/>
                      </a:prstGeom>
                      <a:noFill/>
                      <a:ln w="19050">
                        <a:solidFill>
                          <a:srgbClr val="007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9" o:spid="_x0000_s1026" style="position:absolute;left:0;text-align:left;z-index:25165977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9.65pt,-8.35pt" to="511.85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" strokecolor="#0070c0" strokeweight="1.5pt"/>
          </w:pict>
        </mc:Fallback>
      </mc:AlternateContent>
    </w:r>
    <w:r w:rsidRPr="00884C72">
      <w:rPr>
        <w:rFonts w:hint="eastAsia"/>
        <w:b/>
        <w:i/>
        <w:sz w:val="13"/>
        <w:szCs w:val="13"/>
      </w:rPr>
      <w:t>免责条款</w:t>
    </w:r>
    <w:r w:rsidRPr="00884C72">
      <w:rPr>
        <w:i/>
        <w:sz w:val="13"/>
        <w:szCs w:val="13"/>
      </w:rPr>
      <w:t>1</w:t>
    </w:r>
    <w:r w:rsidRPr="00884C72">
      <w:rPr>
        <w:rFonts w:hint="eastAsia"/>
        <w:i/>
        <w:sz w:val="13"/>
        <w:szCs w:val="13"/>
      </w:rPr>
      <w:t>、本报告用于相关决策参考，并非是某种决策的结论、建议等；</w:t>
    </w:r>
    <w:r w:rsidRPr="00884C72">
      <w:rPr>
        <w:i/>
        <w:sz w:val="13"/>
        <w:szCs w:val="13"/>
      </w:rPr>
      <w:t>2</w:t>
    </w:r>
    <w:r w:rsidRPr="00884C72">
      <w:rPr>
        <w:rFonts w:hint="eastAsia"/>
        <w:i/>
        <w:sz w:val="13"/>
        <w:szCs w:val="13"/>
      </w:rPr>
      <w:t>、本报告所引用的受评债券相关资料均由受评债券发行主体提供或由其公开披露的资料整理，中债资信无法对引用资料的真实性及完整性负责；</w:t>
    </w:r>
    <w:r w:rsidRPr="00884C72">
      <w:rPr>
        <w:i/>
        <w:sz w:val="13"/>
        <w:szCs w:val="13"/>
      </w:rPr>
      <w:t>3</w:t>
    </w:r>
    <w:r w:rsidRPr="00884C72">
      <w:rPr>
        <w:rFonts w:hint="eastAsia"/>
        <w:i/>
        <w:sz w:val="13"/>
        <w:szCs w:val="13"/>
      </w:rPr>
      <w:t>、本报告所采用的评级符号体系</w:t>
    </w:r>
    <w:r w:rsidRPr="0007791F">
      <w:rPr>
        <w:rFonts w:hint="eastAsia"/>
        <w:i/>
        <w:sz w:val="13"/>
        <w:szCs w:val="13"/>
      </w:rPr>
      <w:t>根据财政部《关于做好</w:t>
    </w:r>
    <w:r w:rsidRPr="0007791F">
      <w:rPr>
        <w:rFonts w:hint="eastAsia"/>
        <w:i/>
        <w:sz w:val="13"/>
        <w:szCs w:val="13"/>
      </w:rPr>
      <w:t>2015</w:t>
    </w:r>
    <w:r w:rsidRPr="0007791F">
      <w:rPr>
        <w:rFonts w:hint="eastAsia"/>
        <w:i/>
        <w:sz w:val="13"/>
        <w:szCs w:val="13"/>
      </w:rPr>
      <w:t>年地方政府一般债券发行工作的通知》（财库〔</w:t>
    </w:r>
    <w:r w:rsidRPr="0007791F">
      <w:rPr>
        <w:rFonts w:hint="eastAsia"/>
        <w:i/>
        <w:sz w:val="13"/>
        <w:szCs w:val="13"/>
      </w:rPr>
      <w:t>2015</w:t>
    </w:r>
    <w:r w:rsidRPr="0007791F">
      <w:rPr>
        <w:rFonts w:hint="eastAsia"/>
        <w:i/>
        <w:sz w:val="13"/>
        <w:szCs w:val="13"/>
      </w:rPr>
      <w:t>〕</w:t>
    </w:r>
    <w:r w:rsidRPr="0007791F">
      <w:rPr>
        <w:rFonts w:hint="eastAsia"/>
        <w:i/>
        <w:sz w:val="13"/>
        <w:szCs w:val="13"/>
      </w:rPr>
      <w:t>68</w:t>
    </w:r>
    <w:r w:rsidRPr="0007791F">
      <w:rPr>
        <w:rFonts w:hint="eastAsia"/>
        <w:i/>
        <w:sz w:val="13"/>
        <w:szCs w:val="13"/>
      </w:rPr>
      <w:t>号）</w:t>
    </w:r>
    <w:r w:rsidRPr="00884C72">
      <w:rPr>
        <w:rFonts w:hint="eastAsia"/>
        <w:i/>
        <w:sz w:val="13"/>
        <w:szCs w:val="13"/>
      </w:rPr>
      <w:t>确定，不同于中债资信的工商企业评级符号，仅适用于中债资信针对中国区域（不含港澳台）的信用评级业务，与非依据该区域评级符号体系得出的评级结果不具有可比性。</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7F25" w:rsidRPr="004D3BE8" w:rsidRDefault="005E7F25" w:rsidP="00101766">
    <w:pPr>
      <w:shd w:val="clear" w:color="auto" w:fill="0070C0"/>
      <w:tabs>
        <w:tab w:val="left" w:pos="4395"/>
        <w:tab w:val="right" w:pos="8306"/>
      </w:tabs>
      <w:snapToGrid w:val="0"/>
      <w:ind w:leftChars="2150" w:left="4515" w:rightChars="2150" w:right="4515"/>
      <w:jc w:val="center"/>
      <w:rPr>
        <w:color w:val="FFFFFF"/>
        <w:sz w:val="18"/>
        <w:szCs w:val="18"/>
      </w:rPr>
    </w:pPr>
    <w:r>
      <w:rPr>
        <w:noProof/>
      </w:rPr>
      <mc:AlternateContent>
        <mc:Choice Requires="wps">
          <w:drawing>
            <wp:anchor distT="0" distB="0" distL="114300" distR="114300" simplePos="0" relativeHeight="251655680" behindDoc="0" locked="0" layoutInCell="1" allowOverlap="1" wp14:anchorId="4191FCD5" wp14:editId="189D61B4">
              <wp:simplePos x="0" y="0"/>
              <wp:positionH relativeFrom="column">
                <wp:posOffset>3602990</wp:posOffset>
              </wp:positionH>
              <wp:positionV relativeFrom="paragraph">
                <wp:posOffset>-50165</wp:posOffset>
              </wp:positionV>
              <wp:extent cx="2743200" cy="254000"/>
              <wp:effectExtent l="0" t="0" r="0" b="0"/>
              <wp:wrapNone/>
              <wp:docPr id="22" name="文本框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7F25" w:rsidRPr="00766F14" w:rsidRDefault="005E7F25" w:rsidP="002962E8">
                          <w:pPr>
                            <w:spacing w:line="240" w:lineRule="atLeast"/>
                            <w:jc w:val="right"/>
                            <w:rPr>
                              <w:rFonts w:ascii="宋体"/>
                              <w:b/>
                              <w:color w:val="0070C0"/>
                              <w:sz w:val="18"/>
                              <w:szCs w:val="18"/>
                            </w:rPr>
                          </w:pPr>
                          <w:r w:rsidRPr="004C5D8D">
                            <w:rPr>
                              <w:b/>
                              <w:color w:val="0070C0"/>
                              <w:sz w:val="18"/>
                              <w:szCs w:val="18"/>
                            </w:rPr>
                            <w:t>2</w:t>
                          </w:r>
                          <w:r>
                            <w:rPr>
                              <w:b/>
                              <w:color w:val="0070C0"/>
                              <w:sz w:val="18"/>
                              <w:szCs w:val="18"/>
                            </w:rPr>
                            <w:t>01</w:t>
                          </w:r>
                          <w:r>
                            <w:rPr>
                              <w:rFonts w:hint="eastAsia"/>
                              <w:b/>
                              <w:color w:val="0070C0"/>
                              <w:sz w:val="18"/>
                              <w:szCs w:val="18"/>
                            </w:rPr>
                            <w:t>6</w:t>
                          </w:r>
                          <w:r w:rsidRPr="004C5D8D">
                            <w:rPr>
                              <w:b/>
                              <w:color w:val="0070C0"/>
                              <w:sz w:val="18"/>
                              <w:szCs w:val="18"/>
                            </w:rPr>
                            <w:t>年</w:t>
                          </w:r>
                          <w:r>
                            <w:rPr>
                              <w:rFonts w:hint="eastAsia"/>
                              <w:b/>
                              <w:color w:val="0070C0"/>
                              <w:sz w:val="18"/>
                              <w:szCs w:val="18"/>
                            </w:rPr>
                            <w:t>第一批</w:t>
                          </w:r>
                          <w:r w:rsidRPr="004C5D8D">
                            <w:rPr>
                              <w:rFonts w:ascii="宋体" w:hAnsi="宋体" w:hint="eastAsia"/>
                              <w:b/>
                              <w:color w:val="0070C0"/>
                              <w:sz w:val="18"/>
                              <w:szCs w:val="18"/>
                            </w:rPr>
                            <w:t>江苏省政府</w:t>
                          </w:r>
                          <w:r>
                            <w:rPr>
                              <w:rFonts w:ascii="宋体" w:hAnsi="宋体" w:hint="eastAsia"/>
                              <w:b/>
                              <w:color w:val="0070C0"/>
                              <w:sz w:val="18"/>
                              <w:szCs w:val="18"/>
                            </w:rPr>
                            <w:t>一般</w:t>
                          </w:r>
                          <w:r w:rsidRPr="004C5D8D">
                            <w:rPr>
                              <w:rFonts w:ascii="宋体" w:hAnsi="宋体" w:hint="eastAsia"/>
                              <w:b/>
                              <w:color w:val="0070C0"/>
                              <w:sz w:val="18"/>
                              <w:szCs w:val="18"/>
                            </w:rPr>
                            <w:t>债券</w:t>
                          </w:r>
                          <w:r w:rsidRPr="004C5D8D">
                            <w:rPr>
                              <w:rFonts w:ascii="宋体" w:hAnsi="宋体"/>
                              <w:b/>
                              <w:color w:val="0070C0"/>
                              <w:sz w:val="18"/>
                              <w:szCs w:val="18"/>
                            </w:rPr>
                            <w:t>信用评级</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 22" o:spid="_x0000_s1031" type="#_x0000_t202" style="position:absolute;left:0;text-align:left;margin-left:283.7pt;margin-top:-3.95pt;width:3in;height:20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" filled="f" stroked="f">
              <v:textbox>
                <w:txbxContent>
                  <w:p w:rsidR="005E7F25" w:rsidRPr="00766F14" w:rsidRDefault="005E7F25" w:rsidP="002962E8">
                    <w:pPr>
                      <w:spacing w:line="240" w:lineRule="atLeast"/>
                      <w:jc w:val="right"/>
                      <w:rPr>
                        <w:rFonts w:ascii="宋体"/>
                        <w:b/>
                        <w:color w:val="0070C0"/>
                        <w:sz w:val="18"/>
                        <w:szCs w:val="18"/>
                      </w:rPr>
                    </w:pPr>
                    <w:r w:rsidRPr="004C5D8D">
                      <w:rPr>
                        <w:b/>
                        <w:color w:val="0070C0"/>
                        <w:sz w:val="18"/>
                        <w:szCs w:val="18"/>
                      </w:rPr>
                      <w:t>2</w:t>
                    </w:r>
                    <w:r>
                      <w:rPr>
                        <w:b/>
                        <w:color w:val="0070C0"/>
                        <w:sz w:val="18"/>
                        <w:szCs w:val="18"/>
                      </w:rPr>
                      <w:t>01</w:t>
                    </w:r>
                    <w:r>
                      <w:rPr>
                        <w:rFonts w:hint="eastAsia"/>
                        <w:b/>
                        <w:color w:val="0070C0"/>
                        <w:sz w:val="18"/>
                        <w:szCs w:val="18"/>
                      </w:rPr>
                      <w:t>6</w:t>
                    </w:r>
                    <w:r w:rsidRPr="004C5D8D">
                      <w:rPr>
                        <w:b/>
                        <w:color w:val="0070C0"/>
                        <w:sz w:val="18"/>
                        <w:szCs w:val="18"/>
                      </w:rPr>
                      <w:t>年</w:t>
                    </w:r>
                    <w:r>
                      <w:rPr>
                        <w:rFonts w:hint="eastAsia"/>
                        <w:b/>
                        <w:color w:val="0070C0"/>
                        <w:sz w:val="18"/>
                        <w:szCs w:val="18"/>
                      </w:rPr>
                      <w:t>第一批</w:t>
                    </w:r>
                    <w:r w:rsidRPr="004C5D8D">
                      <w:rPr>
                        <w:rFonts w:ascii="宋体" w:hAnsi="宋体" w:hint="eastAsia"/>
                        <w:b/>
                        <w:color w:val="0070C0"/>
                        <w:sz w:val="18"/>
                        <w:szCs w:val="18"/>
                      </w:rPr>
                      <w:t>江苏省政府</w:t>
                    </w:r>
                    <w:r>
                      <w:rPr>
                        <w:rFonts w:ascii="宋体" w:hAnsi="宋体" w:hint="eastAsia"/>
                        <w:b/>
                        <w:color w:val="0070C0"/>
                        <w:sz w:val="18"/>
                        <w:szCs w:val="18"/>
                      </w:rPr>
                      <w:t>一般</w:t>
                    </w:r>
                    <w:r w:rsidRPr="004C5D8D">
                      <w:rPr>
                        <w:rFonts w:ascii="宋体" w:hAnsi="宋体" w:hint="eastAsia"/>
                        <w:b/>
                        <w:color w:val="0070C0"/>
                        <w:sz w:val="18"/>
                        <w:szCs w:val="18"/>
                      </w:rPr>
                      <w:t>债券</w:t>
                    </w:r>
                    <w:r w:rsidRPr="004C5D8D">
                      <w:rPr>
                        <w:rFonts w:ascii="宋体" w:hAnsi="宋体"/>
                        <w:b/>
                        <w:color w:val="0070C0"/>
                        <w:sz w:val="18"/>
                        <w:szCs w:val="18"/>
                      </w:rPr>
                      <w:t>信用评级</w:t>
                    </w:r>
                  </w:p>
                </w:txbxContent>
              </v:textbox>
            </v:shape>
          </w:pict>
        </mc:Fallback>
      </mc:AlternateContent>
    </w:r>
    <w:r>
      <w:rPr>
        <w:noProof/>
      </w:rPr>
      <mc:AlternateContent>
        <mc:Choice Requires="wps">
          <w:drawing>
            <wp:anchor distT="4294967293" distB="4294967293" distL="114300" distR="114300" simplePos="0" relativeHeight="251653632" behindDoc="0" locked="0" layoutInCell="1" allowOverlap="1" wp14:anchorId="68BA0690" wp14:editId="439AA9CA">
              <wp:simplePos x="0" y="0"/>
              <wp:positionH relativeFrom="column">
                <wp:posOffset>-367030</wp:posOffset>
              </wp:positionH>
              <wp:positionV relativeFrom="paragraph">
                <wp:posOffset>-69216</wp:posOffset>
              </wp:positionV>
              <wp:extent cx="6750050" cy="0"/>
              <wp:effectExtent l="0" t="0" r="12700" b="19050"/>
              <wp:wrapNone/>
              <wp:docPr id="20" name="直接连接符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50050" cy="0"/>
                      </a:xfrm>
                      <a:prstGeom prst="line">
                        <a:avLst/>
                      </a:prstGeom>
                      <a:noFill/>
                      <a:ln w="19050">
                        <a:solidFill>
                          <a:srgbClr val="007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接连接符 20" o:spid="_x0000_s1026" style="position:absolute;left:0;text-align:left;z-index:25165363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8.9pt,-5.45pt" to="502.6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" strokecolor="#0070c0" strokeweight="1.5pt"/>
          </w:pict>
        </mc:Fallback>
      </mc:AlternateContent>
    </w:r>
    <w:r w:rsidRPr="00487FDA">
      <w:rPr>
        <w:color w:val="FFFFFF"/>
        <w:sz w:val="18"/>
        <w:szCs w:val="18"/>
      </w:rPr>
      <w:fldChar w:fldCharType="begin"/>
    </w:r>
    <w:r w:rsidRPr="00487FDA">
      <w:rPr>
        <w:color w:val="FFFFFF"/>
        <w:sz w:val="18"/>
        <w:szCs w:val="18"/>
      </w:rPr>
      <w:instrText>PAGE   \* MERGEFORMAT</w:instrText>
    </w:r>
    <w:r w:rsidRPr="00487FDA">
      <w:rPr>
        <w:color w:val="FFFFFF"/>
        <w:sz w:val="18"/>
        <w:szCs w:val="18"/>
      </w:rPr>
      <w:fldChar w:fldCharType="separate"/>
    </w:r>
    <w:r w:rsidR="001D1C2A" w:rsidRPr="001D1C2A">
      <w:rPr>
        <w:noProof/>
        <w:color w:val="FFFFFF"/>
        <w:sz w:val="18"/>
        <w:szCs w:val="18"/>
        <w:lang w:val="zh-CN"/>
      </w:rPr>
      <w:t>13</w:t>
    </w:r>
    <w:r w:rsidRPr="00487FDA">
      <w:rPr>
        <w:color w:val="FFFFFF"/>
        <w:sz w:val="18"/>
        <w:szCs w:val="18"/>
      </w:rPr>
      <w:fldChar w:fldCharType="end"/>
    </w:r>
  </w:p>
  <w:p w:rsidR="005E7F25" w:rsidRPr="00957BEF" w:rsidRDefault="005E7F25" w:rsidP="00957BEF">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B306A" w:rsidRDefault="00BB306A">
      <w:r>
        <w:separator/>
      </w:r>
    </w:p>
  </w:footnote>
  <w:footnote w:type="continuationSeparator" w:id="0">
    <w:p w:rsidR="00BB306A" w:rsidRDefault="00BB306A">
      <w:r>
        <w:continuationSeparator/>
      </w:r>
    </w:p>
  </w:footnote>
  <w:footnote w:id="1">
    <w:p w:rsidR="005E7F25" w:rsidRPr="008B592A" w:rsidRDefault="005E7F25" w:rsidP="00486F91">
      <w:pPr>
        <w:pStyle w:val="af8"/>
      </w:pPr>
      <w:r>
        <w:rPr>
          <w:rStyle w:val="af9"/>
        </w:rPr>
        <w:footnoteRef/>
      </w:r>
      <w:r>
        <w:t xml:space="preserve"> </w:t>
      </w:r>
      <w:r>
        <w:rPr>
          <w:rFonts w:hint="eastAsia"/>
        </w:rPr>
        <w:t>2014</w:t>
      </w:r>
      <w:r>
        <w:rPr>
          <w:rFonts w:hint="eastAsia"/>
        </w:rPr>
        <w:t>年披露口径有所不同。</w:t>
      </w:r>
    </w:p>
  </w:footnote>
  <w:footnote w:id="2">
    <w:p w:rsidR="005E7F25" w:rsidRPr="001E5A15" w:rsidRDefault="005E7F25" w:rsidP="00486F91">
      <w:pPr>
        <w:pStyle w:val="af8"/>
      </w:pPr>
      <w:r>
        <w:rPr>
          <w:rStyle w:val="af9"/>
        </w:rPr>
        <w:footnoteRef/>
      </w:r>
      <w:r>
        <w:t xml:space="preserve"> </w:t>
      </w:r>
      <w:r w:rsidRPr="001E5A15">
        <w:rPr>
          <w:rFonts w:hint="eastAsia"/>
        </w:rPr>
        <w:t>电子信息产业涉及集成电路、新型显示、计算机、现代通信、数字视听、电子核心基础产品、高端芯片、物联网等产品。</w:t>
      </w:r>
      <w:r w:rsidRPr="001E5A15">
        <w:rPr>
          <w:rFonts w:hint="eastAsia"/>
        </w:rPr>
        <w:t>2010</w:t>
      </w:r>
      <w:r w:rsidRPr="001E5A15">
        <w:rPr>
          <w:rFonts w:hint="eastAsia"/>
        </w:rPr>
        <w:t>年江苏省电子信息产业实现主营业务收入</w:t>
      </w:r>
      <w:r w:rsidRPr="001E5A15">
        <w:rPr>
          <w:rFonts w:hint="eastAsia"/>
        </w:rPr>
        <w:t>18</w:t>
      </w:r>
      <w:r>
        <w:rPr>
          <w:rFonts w:hint="eastAsia"/>
        </w:rPr>
        <w:t>,</w:t>
      </w:r>
      <w:r w:rsidRPr="001E5A15">
        <w:rPr>
          <w:rFonts w:hint="eastAsia"/>
        </w:rPr>
        <w:t>535</w:t>
      </w:r>
      <w:r w:rsidRPr="001E5A15">
        <w:rPr>
          <w:rFonts w:hint="eastAsia"/>
        </w:rPr>
        <w:t>亿元，约占全省工业经济比重的</w:t>
      </w:r>
      <w:r w:rsidRPr="001E5A15">
        <w:rPr>
          <w:rFonts w:hint="eastAsia"/>
        </w:rPr>
        <w:t>20%</w:t>
      </w:r>
      <w:r w:rsidRPr="001E5A15">
        <w:rPr>
          <w:rFonts w:hint="eastAsia"/>
        </w:rPr>
        <w:t>。</w:t>
      </w:r>
    </w:p>
  </w:footnote>
  <w:footnote w:id="3">
    <w:p w:rsidR="005E7F25" w:rsidRPr="006A0DA6" w:rsidRDefault="005E7F25" w:rsidP="00486F91">
      <w:pPr>
        <w:pStyle w:val="af8"/>
      </w:pPr>
      <w:r>
        <w:rPr>
          <w:rStyle w:val="af9"/>
        </w:rPr>
        <w:footnoteRef/>
      </w:r>
      <w:r>
        <w:rPr>
          <w:rFonts w:hAnsi="宋体" w:hint="eastAsia"/>
          <w:szCs w:val="21"/>
        </w:rPr>
        <w:t>战略性新兴产业包括</w:t>
      </w:r>
      <w:r w:rsidRPr="00530259">
        <w:rPr>
          <w:rFonts w:hAnsi="宋体" w:hint="eastAsia"/>
          <w:szCs w:val="21"/>
        </w:rPr>
        <w:t>新能源、新材料、生物技术和新医药、节能环保、新一代信息技术和软件、物联网和云计算、高端装备制造、新能源汽车、智能电网和海洋工程等</w:t>
      </w:r>
      <w:r>
        <w:rPr>
          <w:rFonts w:hAnsi="宋体" w:hint="eastAsia"/>
          <w:szCs w:val="21"/>
        </w:rPr>
        <w:t>。</w:t>
      </w:r>
    </w:p>
  </w:footnote>
  <w:footnote w:id="4">
    <w:p w:rsidR="005E7F25" w:rsidRPr="00432FF8" w:rsidRDefault="005E7F25" w:rsidP="00486F91">
      <w:pPr>
        <w:pStyle w:val="af8"/>
      </w:pPr>
      <w:r>
        <w:rPr>
          <w:rStyle w:val="af9"/>
        </w:rPr>
        <w:footnoteRef/>
      </w:r>
      <w:r>
        <w:t xml:space="preserve"> </w:t>
      </w:r>
      <w:r>
        <w:rPr>
          <w:rFonts w:hint="eastAsia"/>
        </w:rPr>
        <w:t>2014</w:t>
      </w:r>
      <w:r>
        <w:rPr>
          <w:rFonts w:hint="eastAsia"/>
        </w:rPr>
        <w:t>年“两会”期间，政府工作报告首次出现</w:t>
      </w:r>
      <w:r w:rsidRPr="00432FF8">
        <w:rPr>
          <w:rFonts w:hint="eastAsia"/>
        </w:rPr>
        <w:t>“由东向西、由沿海向内地，沿大江大河和陆路交通干线，推进梯度发展”</w:t>
      </w:r>
      <w:r>
        <w:rPr>
          <w:rFonts w:hint="eastAsia"/>
        </w:rPr>
        <w:t>以及</w:t>
      </w:r>
      <w:r w:rsidRPr="00432FF8">
        <w:rPr>
          <w:rFonts w:hint="eastAsia"/>
        </w:rPr>
        <w:t>“要依托黄金水道，建设长江经济带”</w:t>
      </w:r>
      <w:r>
        <w:rPr>
          <w:rFonts w:hint="eastAsia"/>
        </w:rPr>
        <w:t>。</w:t>
      </w:r>
      <w:smartTag w:uri="urn:schemas-microsoft-com:office:smarttags" w:element="chsdate">
        <w:smartTagPr>
          <w:attr w:name="IsROCDate" w:val="False"/>
          <w:attr w:name="IsLunarDate" w:val="False"/>
          <w:attr w:name="Day" w:val="28"/>
          <w:attr w:name="Month" w:val="4"/>
          <w:attr w:name="Year" w:val="2014"/>
        </w:smartTagPr>
        <w:r>
          <w:rPr>
            <w:rFonts w:hint="eastAsia"/>
          </w:rPr>
          <w:t>2014</w:t>
        </w:r>
        <w:r>
          <w:rPr>
            <w:rFonts w:hint="eastAsia"/>
          </w:rPr>
          <w:t>年</w:t>
        </w:r>
        <w:r>
          <w:rPr>
            <w:rFonts w:hint="eastAsia"/>
          </w:rPr>
          <w:t>4</w:t>
        </w:r>
        <w:r>
          <w:rPr>
            <w:rFonts w:hint="eastAsia"/>
          </w:rPr>
          <w:t>月</w:t>
        </w:r>
        <w:r>
          <w:rPr>
            <w:rFonts w:hint="eastAsia"/>
          </w:rPr>
          <w:t>28</w:t>
        </w:r>
        <w:r>
          <w:rPr>
            <w:rFonts w:hint="eastAsia"/>
          </w:rPr>
          <w:t>日</w:t>
        </w:r>
      </w:smartTag>
      <w:r>
        <w:rPr>
          <w:rFonts w:hint="eastAsia"/>
        </w:rPr>
        <w:t>，国务院总理李克强在重庆召开</w:t>
      </w:r>
      <w:r w:rsidRPr="00432FF8">
        <w:rPr>
          <w:rFonts w:hint="eastAsia"/>
        </w:rPr>
        <w:t>包括长江沿线</w:t>
      </w:r>
      <w:r w:rsidRPr="00432FF8">
        <w:rPr>
          <w:rFonts w:hint="eastAsia"/>
        </w:rPr>
        <w:t>11</w:t>
      </w:r>
      <w:r w:rsidRPr="00432FF8">
        <w:rPr>
          <w:rFonts w:hint="eastAsia"/>
        </w:rPr>
        <w:t>个省市主要负责人在内的区域经济发展座谈会</w:t>
      </w:r>
      <w:r>
        <w:rPr>
          <w:rFonts w:hint="eastAsia"/>
        </w:rPr>
        <w:t>，指出“</w:t>
      </w:r>
      <w:r w:rsidRPr="00432FF8">
        <w:rPr>
          <w:rFonts w:hint="eastAsia"/>
        </w:rPr>
        <w:t>长三角地区是我国经济增长的重要一极，要依托黄金水道建设长江经济带，为中国经济持续发展提供重要支撑</w:t>
      </w:r>
      <w:r>
        <w:rPr>
          <w:rFonts w:hint="eastAsia"/>
        </w:rPr>
        <w:t>”。</w:t>
      </w:r>
    </w:p>
  </w:footnote>
  <w:footnote w:id="5">
    <w:p w:rsidR="005E7F25" w:rsidRPr="00AE48CA" w:rsidRDefault="005E7F25" w:rsidP="00486F91">
      <w:pPr>
        <w:pStyle w:val="af8"/>
      </w:pPr>
      <w:r>
        <w:rPr>
          <w:rStyle w:val="af9"/>
        </w:rPr>
        <w:footnoteRef/>
      </w:r>
      <w:r w:rsidRPr="001E5A15">
        <w:rPr>
          <w:rFonts w:hint="eastAsia"/>
        </w:rPr>
        <w:t xml:space="preserve"> </w:t>
      </w:r>
      <w:r w:rsidRPr="00EA26AE">
        <w:rPr>
          <w:rFonts w:hint="eastAsia"/>
        </w:rPr>
        <w:t>自</w:t>
      </w:r>
      <w:r w:rsidRPr="00EA26AE">
        <w:rPr>
          <w:rFonts w:hint="eastAsia"/>
        </w:rPr>
        <w:t>2004</w:t>
      </w:r>
      <w:r w:rsidRPr="00EA26AE">
        <w:rPr>
          <w:rFonts w:hint="eastAsia"/>
        </w:rPr>
        <w:t>年起，</w:t>
      </w:r>
      <w:r w:rsidRPr="00E50845">
        <w:rPr>
          <w:rFonts w:hint="eastAsia"/>
        </w:rPr>
        <w:t>农业土地开发资金按土地出让</w:t>
      </w:r>
      <w:r>
        <w:rPr>
          <w:rFonts w:hint="eastAsia"/>
        </w:rPr>
        <w:t>平均纯收益</w:t>
      </w:r>
      <w:r w:rsidRPr="00E50845">
        <w:rPr>
          <w:rFonts w:hint="eastAsia"/>
        </w:rPr>
        <w:t>不低于</w:t>
      </w:r>
      <w:r w:rsidRPr="00E50845">
        <w:rPr>
          <w:rFonts w:hint="eastAsia"/>
        </w:rPr>
        <w:t>15%</w:t>
      </w:r>
      <w:r w:rsidRPr="00E50845">
        <w:rPr>
          <w:rFonts w:hint="eastAsia"/>
        </w:rPr>
        <w:t>的比例计提</w:t>
      </w:r>
      <w:r w:rsidRPr="00EA26AE">
        <w:rPr>
          <w:rFonts w:hint="eastAsia"/>
        </w:rPr>
        <w:t>；自</w:t>
      </w:r>
      <w:r w:rsidRPr="00EA26AE">
        <w:rPr>
          <w:rFonts w:hint="eastAsia"/>
        </w:rPr>
        <w:t>2008</w:t>
      </w:r>
      <w:r w:rsidRPr="00EA26AE">
        <w:rPr>
          <w:rFonts w:hint="eastAsia"/>
        </w:rPr>
        <w:t>年起，土地出让收益不低于</w:t>
      </w:r>
      <w:r w:rsidRPr="00EA26AE">
        <w:rPr>
          <w:rFonts w:hint="eastAsia"/>
        </w:rPr>
        <w:t>10%</w:t>
      </w:r>
      <w:r w:rsidRPr="00EA26AE">
        <w:rPr>
          <w:rFonts w:hint="eastAsia"/>
        </w:rPr>
        <w:t>的比例用于保障房；自</w:t>
      </w:r>
      <w:r w:rsidRPr="00EA26AE">
        <w:rPr>
          <w:rFonts w:hint="eastAsia"/>
        </w:rPr>
        <w:t>2011</w:t>
      </w:r>
      <w:r w:rsidRPr="00EA26AE">
        <w:rPr>
          <w:rFonts w:hint="eastAsia"/>
        </w:rPr>
        <w:t>年起，土地出让收益提取</w:t>
      </w:r>
      <w:r w:rsidRPr="00EA26AE">
        <w:rPr>
          <w:rFonts w:hint="eastAsia"/>
        </w:rPr>
        <w:t>10%</w:t>
      </w:r>
      <w:r w:rsidRPr="00EA26AE">
        <w:rPr>
          <w:rFonts w:hint="eastAsia"/>
        </w:rPr>
        <w:t>用于农田水利建设；自</w:t>
      </w:r>
      <w:r w:rsidRPr="00EA26AE">
        <w:rPr>
          <w:rFonts w:hint="eastAsia"/>
        </w:rPr>
        <w:t>2011</w:t>
      </w:r>
      <w:r w:rsidRPr="00EA26AE">
        <w:rPr>
          <w:rFonts w:hint="eastAsia"/>
        </w:rPr>
        <w:t>年起，按</w:t>
      </w:r>
      <w:r w:rsidRPr="00EA26AE">
        <w:rPr>
          <w:rFonts w:hint="eastAsia"/>
        </w:rPr>
        <w:t>10%</w:t>
      </w:r>
      <w:r w:rsidRPr="00AE48CA">
        <w:rPr>
          <w:rFonts w:hint="eastAsia"/>
        </w:rPr>
        <w:t>的比例计提教育资金。</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7F25" w:rsidRPr="004D3BE8" w:rsidRDefault="005E7F25" w:rsidP="004D3BE8">
    <w:pPr>
      <w:pStyle w:val="af5"/>
      <w:pBdr>
        <w:bottom w:val="none" w:sz="0" w:space="0" w:color="auto"/>
      </w:pBdr>
      <w:jc w:val="both"/>
    </w:pPr>
    <w:r>
      <w:rPr>
        <w:noProof/>
      </w:rPr>
      <w:drawing>
        <wp:anchor distT="0" distB="0" distL="114300" distR="114300" simplePos="0" relativeHeight="251661824" behindDoc="0" locked="0" layoutInCell="1" allowOverlap="1" wp14:anchorId="491E365A" wp14:editId="27180518">
          <wp:simplePos x="0" y="0"/>
          <wp:positionH relativeFrom="column">
            <wp:posOffset>-81280</wp:posOffset>
          </wp:positionH>
          <wp:positionV relativeFrom="paragraph">
            <wp:posOffset>140970</wp:posOffset>
          </wp:positionV>
          <wp:extent cx="2163445" cy="328930"/>
          <wp:effectExtent l="0" t="0" r="8255" b="0"/>
          <wp:wrapNone/>
          <wp:docPr id="11" name="图片 2" descr="说明: 最终定稿标志20150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说明: 最终定稿标志2015062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63445" cy="3289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6704" behindDoc="0" locked="0" layoutInCell="1" allowOverlap="1" wp14:anchorId="5F8840DC" wp14:editId="092D1B48">
              <wp:simplePos x="0" y="0"/>
              <wp:positionH relativeFrom="column">
                <wp:posOffset>4352925</wp:posOffset>
              </wp:positionH>
              <wp:positionV relativeFrom="paragraph">
                <wp:posOffset>140970</wp:posOffset>
              </wp:positionV>
              <wp:extent cx="2153920" cy="368300"/>
              <wp:effectExtent l="0" t="0" r="17780" b="12700"/>
              <wp:wrapNone/>
              <wp:docPr id="14"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3920" cy="368300"/>
                      </a:xfrm>
                      <a:prstGeom prst="rect">
                        <a:avLst/>
                      </a:prstGeom>
                      <a:solidFill>
                        <a:srgbClr val="FFFFFF"/>
                      </a:solidFill>
                      <a:ln w="9525">
                        <a:solidFill>
                          <a:srgbClr val="FFFFFF"/>
                        </a:solidFill>
                        <a:miter lim="800000"/>
                        <a:headEnd/>
                        <a:tailEnd/>
                      </a:ln>
                    </wps:spPr>
                    <wps:txbx>
                      <w:txbxContent>
                        <w:p w:rsidR="005E7F25" w:rsidRPr="00D02B98" w:rsidRDefault="005E7F25" w:rsidP="004D3BE8">
                          <w:pPr>
                            <w:pStyle w:val="af5"/>
                            <w:pBdr>
                              <w:bottom w:val="none" w:sz="0" w:space="0" w:color="auto"/>
                            </w:pBdr>
                            <w:spacing w:before="120" w:after="120"/>
                            <w:ind w:leftChars="-350" w:left="-735" w:rightChars="-407" w:right="-855"/>
                            <w:rPr>
                              <w:b/>
                            </w:rPr>
                          </w:pPr>
                          <w:r>
                            <w:rPr>
                              <w:rFonts w:hint="eastAsia"/>
                              <w:b/>
                              <w:color w:val="0070C0"/>
                              <w:sz w:val="21"/>
                              <w:szCs w:val="21"/>
                            </w:rPr>
                            <w:t xml:space="preserve">     </w:t>
                          </w:r>
                          <w:r w:rsidRPr="00094226">
                            <w:rPr>
                              <w:rFonts w:hint="eastAsia"/>
                              <w:b/>
                              <w:color w:val="0070C0"/>
                              <w:sz w:val="21"/>
                              <w:szCs w:val="21"/>
                            </w:rPr>
                            <w:t>地方政府一般债券信用评级</w:t>
                          </w:r>
                        </w:p>
                        <w:p w:rsidR="005E7F25" w:rsidRDefault="005E7F25" w:rsidP="004D3BE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5" o:spid="_x0000_s1028" type="#_x0000_t202" style="position:absolute;left:0;text-align:left;margin-left:342.75pt;margin-top:11.1pt;width:169.6pt;height:29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" strokecolor="white">
              <v:textbox>
                <w:txbxContent>
                  <w:p w:rsidR="005E7F25" w:rsidRPr="00D02B98" w:rsidRDefault="005E7F25" w:rsidP="004D3BE8">
                    <w:pPr>
                      <w:pStyle w:val="af5"/>
                      <w:pBdr>
                        <w:bottom w:val="none" w:sz="0" w:space="0" w:color="auto"/>
                      </w:pBdr>
                      <w:spacing w:before="120" w:after="120"/>
                      <w:ind w:leftChars="-350" w:left="-735" w:rightChars="-407" w:right="-855"/>
                      <w:rPr>
                        <w:b/>
                      </w:rPr>
                    </w:pPr>
                    <w:r>
                      <w:rPr>
                        <w:rFonts w:hint="eastAsia"/>
                        <w:b/>
                        <w:color w:val="0070C0"/>
                        <w:sz w:val="21"/>
                        <w:szCs w:val="21"/>
                      </w:rPr>
                      <w:t xml:space="preserve">     </w:t>
                    </w:r>
                    <w:r w:rsidRPr="00094226">
                      <w:rPr>
                        <w:rFonts w:hint="eastAsia"/>
                        <w:b/>
                        <w:color w:val="0070C0"/>
                        <w:sz w:val="21"/>
                        <w:szCs w:val="21"/>
                      </w:rPr>
                      <w:t>地方政府一般债券信用评级</w:t>
                    </w:r>
                  </w:p>
                  <w:p w:rsidR="005E7F25" w:rsidRDefault="005E7F25" w:rsidP="004D3BE8"/>
                </w:txbxContent>
              </v:textbox>
            </v:shape>
          </w:pict>
        </mc:Fallback>
      </mc:AlternateContent>
    </w:r>
    <w:r>
      <w:rPr>
        <w:noProof/>
      </w:rPr>
      <mc:AlternateContent>
        <mc:Choice Requires="wps">
          <w:drawing>
            <wp:anchor distT="4294967292" distB="4294967292" distL="114300" distR="114300" simplePos="0" relativeHeight="251657728" behindDoc="0" locked="0" layoutInCell="1" allowOverlap="1" wp14:anchorId="227C4717" wp14:editId="14BFFE19">
              <wp:simplePos x="0" y="0"/>
              <wp:positionH relativeFrom="column">
                <wp:posOffset>-240030</wp:posOffset>
              </wp:positionH>
              <wp:positionV relativeFrom="paragraph">
                <wp:posOffset>506729</wp:posOffset>
              </wp:positionV>
              <wp:extent cx="6750050" cy="0"/>
              <wp:effectExtent l="0" t="0" r="12700" b="19050"/>
              <wp:wrapNone/>
              <wp:docPr id="13" name="Lin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50050" cy="0"/>
                      </a:xfrm>
                      <a:prstGeom prst="line">
                        <a:avLst/>
                      </a:prstGeom>
                      <a:noFill/>
                      <a:ln w="19050">
                        <a:solidFill>
                          <a:srgbClr val="007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7" o:spid="_x0000_s1026" style="position:absolute;left:0;text-align:left;z-index:25165772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8.9pt,39.9pt" to="512.6pt,3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" strokecolor="#0070c0" strokeweight="1.5p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7F25" w:rsidRPr="004F48D8" w:rsidRDefault="005E7F25" w:rsidP="004F48D8">
    <w:pPr>
      <w:pStyle w:val="af5"/>
      <w:pBdr>
        <w:bottom w:val="none" w:sz="0" w:space="0" w:color="auto"/>
      </w:pBdr>
      <w:jc w:val="both"/>
    </w:pPr>
    <w:r>
      <w:rPr>
        <w:noProof/>
      </w:rPr>
      <mc:AlternateContent>
        <mc:Choice Requires="wps">
          <w:drawing>
            <wp:anchor distT="0" distB="0" distL="114300" distR="114300" simplePos="0" relativeHeight="251654656" behindDoc="0" locked="0" layoutInCell="1" allowOverlap="1" wp14:anchorId="09864C99" wp14:editId="00354DFF">
              <wp:simplePos x="0" y="0"/>
              <wp:positionH relativeFrom="column">
                <wp:posOffset>4175125</wp:posOffset>
              </wp:positionH>
              <wp:positionV relativeFrom="paragraph">
                <wp:posOffset>106045</wp:posOffset>
              </wp:positionV>
              <wp:extent cx="2265045" cy="368300"/>
              <wp:effectExtent l="0" t="0" r="20955" b="12700"/>
              <wp:wrapNone/>
              <wp:docPr id="17"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5045" cy="368300"/>
                      </a:xfrm>
                      <a:prstGeom prst="rect">
                        <a:avLst/>
                      </a:prstGeom>
                      <a:solidFill>
                        <a:srgbClr val="FFFFFF"/>
                      </a:solidFill>
                      <a:ln w="9525">
                        <a:solidFill>
                          <a:srgbClr val="FFFFFF"/>
                        </a:solidFill>
                        <a:miter lim="800000"/>
                        <a:headEnd/>
                        <a:tailEnd/>
                      </a:ln>
                    </wps:spPr>
                    <wps:txbx>
                      <w:txbxContent>
                        <w:p w:rsidR="005E7F25" w:rsidRPr="00D02B98" w:rsidRDefault="005E7F25" w:rsidP="004F48D8">
                          <w:pPr>
                            <w:pStyle w:val="af5"/>
                            <w:pBdr>
                              <w:bottom w:val="none" w:sz="0" w:space="0" w:color="auto"/>
                            </w:pBdr>
                            <w:spacing w:before="120" w:after="120"/>
                            <w:ind w:leftChars="-350" w:left="-735" w:rightChars="-407" w:right="-855"/>
                            <w:rPr>
                              <w:b/>
                            </w:rPr>
                          </w:pPr>
                          <w:r w:rsidRPr="008C1B3A">
                            <w:rPr>
                              <w:rFonts w:hint="eastAsia"/>
                              <w:b/>
                              <w:color w:val="0070C0"/>
                              <w:sz w:val="21"/>
                              <w:szCs w:val="21"/>
                            </w:rPr>
                            <w:t>地方政府一般债券信用评级</w:t>
                          </w:r>
                        </w:p>
                        <w:p w:rsidR="005E7F25" w:rsidRDefault="005E7F25" w:rsidP="004F48D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0" type="#_x0000_t202" style="position:absolute;left:0;text-align:left;margin-left:328.75pt;margin-top:8.35pt;width:178.35pt;height:29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" strokecolor="white">
              <v:textbox>
                <w:txbxContent>
                  <w:p w:rsidR="005E7F25" w:rsidRPr="00D02B98" w:rsidRDefault="005E7F25" w:rsidP="004F48D8">
                    <w:pPr>
                      <w:pStyle w:val="af5"/>
                      <w:pBdr>
                        <w:bottom w:val="none" w:sz="0" w:space="0" w:color="auto"/>
                      </w:pBdr>
                      <w:spacing w:before="120" w:after="120"/>
                      <w:ind w:leftChars="-350" w:left="-735" w:rightChars="-407" w:right="-855"/>
                      <w:rPr>
                        <w:b/>
                      </w:rPr>
                    </w:pPr>
                    <w:r w:rsidRPr="008C1B3A">
                      <w:rPr>
                        <w:rFonts w:hint="eastAsia"/>
                        <w:b/>
                        <w:color w:val="0070C0"/>
                        <w:sz w:val="21"/>
                        <w:szCs w:val="21"/>
                      </w:rPr>
                      <w:t>地方政府一般债券信用评级</w:t>
                    </w:r>
                  </w:p>
                  <w:p w:rsidR="005E7F25" w:rsidRDefault="005E7F25" w:rsidP="004F48D8"/>
                </w:txbxContent>
              </v:textbox>
            </v:shape>
          </w:pict>
        </mc:Fallback>
      </mc:AlternateContent>
    </w:r>
    <w:r>
      <w:rPr>
        <w:noProof/>
      </w:rPr>
      <w:drawing>
        <wp:anchor distT="0" distB="0" distL="114300" distR="114300" simplePos="0" relativeHeight="251660800" behindDoc="0" locked="0" layoutInCell="1" allowOverlap="1" wp14:anchorId="17FDDCE5" wp14:editId="01100BF2">
          <wp:simplePos x="0" y="0"/>
          <wp:positionH relativeFrom="column">
            <wp:posOffset>-428625</wp:posOffset>
          </wp:positionH>
          <wp:positionV relativeFrom="paragraph">
            <wp:posOffset>156210</wp:posOffset>
          </wp:positionV>
          <wp:extent cx="2163445" cy="328930"/>
          <wp:effectExtent l="0" t="0" r="8255" b="0"/>
          <wp:wrapNone/>
          <wp:docPr id="5" name="图片 2" descr="说明: 最终定稿标志20150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说明: 最终定稿标志2015062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63445" cy="3289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294967292" distB="4294967292" distL="114300" distR="114300" simplePos="0" relativeHeight="251652608" behindDoc="0" locked="0" layoutInCell="1" allowOverlap="1" wp14:anchorId="5FA70116" wp14:editId="24E1818B">
              <wp:simplePos x="0" y="0"/>
              <wp:positionH relativeFrom="column">
                <wp:posOffset>-430530</wp:posOffset>
              </wp:positionH>
              <wp:positionV relativeFrom="paragraph">
                <wp:posOffset>506094</wp:posOffset>
              </wp:positionV>
              <wp:extent cx="6750050" cy="0"/>
              <wp:effectExtent l="0" t="0" r="12700" b="19050"/>
              <wp:wrapNone/>
              <wp:docPr id="18" name="Lin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50050" cy="0"/>
                      </a:xfrm>
                      <a:prstGeom prst="line">
                        <a:avLst/>
                      </a:prstGeom>
                      <a:noFill/>
                      <a:ln w="19050">
                        <a:solidFill>
                          <a:srgbClr val="007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7" o:spid="_x0000_s1026" style="position:absolute;left:0;text-align:left;z-index:25165260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33.9pt,39.85pt" to="497.6pt,3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" strokecolor="#0070c0" strokeweight="1.5p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AC4509D"/>
    <w:multiLevelType w:val="hybridMultilevel"/>
    <w:tmpl w:val="77C89066"/>
    <w:lvl w:ilvl="0" w:tplc="CF60196A">
      <w:start w:val="1"/>
      <w:numFmt w:val="decimal"/>
      <w:lvlText w:val="%1、"/>
      <w:lvlJc w:val="left"/>
      <w:pPr>
        <w:tabs>
          <w:tab w:val="num" w:pos="780"/>
        </w:tabs>
        <w:ind w:left="780" w:hanging="360"/>
      </w:pPr>
      <w:rPr>
        <w:rFonts w:cs="Times New Roman" w:hint="default"/>
      </w:rPr>
    </w:lvl>
    <w:lvl w:ilvl="1" w:tplc="04090019" w:tentative="1">
      <w:start w:val="1"/>
      <w:numFmt w:val="lowerLetter"/>
      <w:lvlText w:val="%2)"/>
      <w:lvlJc w:val="left"/>
      <w:pPr>
        <w:tabs>
          <w:tab w:val="num" w:pos="1260"/>
        </w:tabs>
        <w:ind w:left="1260" w:hanging="420"/>
      </w:pPr>
      <w:rPr>
        <w:rFonts w:cs="Times New Roman"/>
      </w:rPr>
    </w:lvl>
    <w:lvl w:ilvl="2" w:tplc="0409001B" w:tentative="1">
      <w:start w:val="1"/>
      <w:numFmt w:val="lowerRoman"/>
      <w:lvlText w:val="%3."/>
      <w:lvlJc w:val="right"/>
      <w:pPr>
        <w:tabs>
          <w:tab w:val="num" w:pos="1680"/>
        </w:tabs>
        <w:ind w:left="1680" w:hanging="420"/>
      </w:pPr>
      <w:rPr>
        <w:rFonts w:cs="Times New Roman"/>
      </w:rPr>
    </w:lvl>
    <w:lvl w:ilvl="3" w:tplc="0409000F" w:tentative="1">
      <w:start w:val="1"/>
      <w:numFmt w:val="decimal"/>
      <w:lvlText w:val="%4."/>
      <w:lvlJc w:val="left"/>
      <w:pPr>
        <w:tabs>
          <w:tab w:val="num" w:pos="2100"/>
        </w:tabs>
        <w:ind w:left="2100" w:hanging="420"/>
      </w:pPr>
      <w:rPr>
        <w:rFonts w:cs="Times New Roman"/>
      </w:rPr>
    </w:lvl>
    <w:lvl w:ilvl="4" w:tplc="04090019" w:tentative="1">
      <w:start w:val="1"/>
      <w:numFmt w:val="lowerLetter"/>
      <w:lvlText w:val="%5)"/>
      <w:lvlJc w:val="left"/>
      <w:pPr>
        <w:tabs>
          <w:tab w:val="num" w:pos="2520"/>
        </w:tabs>
        <w:ind w:left="2520" w:hanging="420"/>
      </w:pPr>
      <w:rPr>
        <w:rFonts w:cs="Times New Roman"/>
      </w:rPr>
    </w:lvl>
    <w:lvl w:ilvl="5" w:tplc="0409001B" w:tentative="1">
      <w:start w:val="1"/>
      <w:numFmt w:val="lowerRoman"/>
      <w:lvlText w:val="%6."/>
      <w:lvlJc w:val="right"/>
      <w:pPr>
        <w:tabs>
          <w:tab w:val="num" w:pos="2940"/>
        </w:tabs>
        <w:ind w:left="2940" w:hanging="420"/>
      </w:pPr>
      <w:rPr>
        <w:rFonts w:cs="Times New Roman"/>
      </w:rPr>
    </w:lvl>
    <w:lvl w:ilvl="6" w:tplc="0409000F" w:tentative="1">
      <w:start w:val="1"/>
      <w:numFmt w:val="decimal"/>
      <w:lvlText w:val="%7."/>
      <w:lvlJc w:val="left"/>
      <w:pPr>
        <w:tabs>
          <w:tab w:val="num" w:pos="3360"/>
        </w:tabs>
        <w:ind w:left="3360" w:hanging="420"/>
      </w:pPr>
      <w:rPr>
        <w:rFonts w:cs="Times New Roman"/>
      </w:rPr>
    </w:lvl>
    <w:lvl w:ilvl="7" w:tplc="04090019" w:tentative="1">
      <w:start w:val="1"/>
      <w:numFmt w:val="lowerLetter"/>
      <w:lvlText w:val="%8)"/>
      <w:lvlJc w:val="left"/>
      <w:pPr>
        <w:tabs>
          <w:tab w:val="num" w:pos="3780"/>
        </w:tabs>
        <w:ind w:left="3780" w:hanging="420"/>
      </w:pPr>
      <w:rPr>
        <w:rFonts w:cs="Times New Roman"/>
      </w:rPr>
    </w:lvl>
    <w:lvl w:ilvl="8" w:tplc="0409001B" w:tentative="1">
      <w:start w:val="1"/>
      <w:numFmt w:val="lowerRoman"/>
      <w:lvlText w:val="%9."/>
      <w:lvlJc w:val="right"/>
      <w:pPr>
        <w:tabs>
          <w:tab w:val="num" w:pos="4200"/>
        </w:tabs>
        <w:ind w:left="4200" w:hanging="420"/>
      </w:pPr>
      <w:rPr>
        <w:rFonts w:cs="Times New Roman"/>
      </w:rPr>
    </w:lvl>
  </w:abstractNum>
  <w:abstractNum w:abstractNumId="1">
    <w:nsid w:val="39605EEE"/>
    <w:multiLevelType w:val="hybridMultilevel"/>
    <w:tmpl w:val="1F3ECEAE"/>
    <w:lvl w:ilvl="0" w:tplc="A1C80D26">
      <w:start w:val="1"/>
      <w:numFmt w:val="decimal"/>
      <w:suff w:val="nothing"/>
      <w:lvlText w:val="图%1："/>
      <w:lvlJc w:val="left"/>
      <w:pPr>
        <w:ind w:left="3255" w:hanging="420"/>
      </w:pPr>
      <w:rPr>
        <w:rFonts w:cs="Times New Roman" w:hint="eastAsia"/>
      </w:rPr>
    </w:lvl>
    <w:lvl w:ilvl="1" w:tplc="04090019" w:tentative="1">
      <w:start w:val="1"/>
      <w:numFmt w:val="lowerLetter"/>
      <w:lvlText w:val="%2)"/>
      <w:lvlJc w:val="left"/>
      <w:pPr>
        <w:ind w:left="-1470" w:hanging="420"/>
      </w:pPr>
      <w:rPr>
        <w:rFonts w:cs="Times New Roman"/>
      </w:rPr>
    </w:lvl>
    <w:lvl w:ilvl="2" w:tplc="0409001B" w:tentative="1">
      <w:start w:val="1"/>
      <w:numFmt w:val="lowerRoman"/>
      <w:lvlText w:val="%3."/>
      <w:lvlJc w:val="right"/>
      <w:pPr>
        <w:ind w:left="-1050" w:hanging="420"/>
      </w:pPr>
      <w:rPr>
        <w:rFonts w:cs="Times New Roman"/>
      </w:rPr>
    </w:lvl>
    <w:lvl w:ilvl="3" w:tplc="0409000F" w:tentative="1">
      <w:start w:val="1"/>
      <w:numFmt w:val="decimal"/>
      <w:lvlText w:val="%4."/>
      <w:lvlJc w:val="left"/>
      <w:pPr>
        <w:ind w:left="-630" w:hanging="420"/>
      </w:pPr>
      <w:rPr>
        <w:rFonts w:cs="Times New Roman"/>
      </w:rPr>
    </w:lvl>
    <w:lvl w:ilvl="4" w:tplc="04090019" w:tentative="1">
      <w:start w:val="1"/>
      <w:numFmt w:val="lowerLetter"/>
      <w:lvlText w:val="%5)"/>
      <w:lvlJc w:val="left"/>
      <w:pPr>
        <w:ind w:left="-210" w:hanging="420"/>
      </w:pPr>
      <w:rPr>
        <w:rFonts w:cs="Times New Roman"/>
      </w:rPr>
    </w:lvl>
    <w:lvl w:ilvl="5" w:tplc="0409001B" w:tentative="1">
      <w:start w:val="1"/>
      <w:numFmt w:val="lowerRoman"/>
      <w:lvlText w:val="%6."/>
      <w:lvlJc w:val="right"/>
      <w:pPr>
        <w:ind w:left="210" w:hanging="420"/>
      </w:pPr>
      <w:rPr>
        <w:rFonts w:cs="Times New Roman"/>
      </w:rPr>
    </w:lvl>
    <w:lvl w:ilvl="6" w:tplc="0409000F" w:tentative="1">
      <w:start w:val="1"/>
      <w:numFmt w:val="decimal"/>
      <w:lvlText w:val="%7."/>
      <w:lvlJc w:val="left"/>
      <w:pPr>
        <w:ind w:left="630" w:hanging="420"/>
      </w:pPr>
      <w:rPr>
        <w:rFonts w:cs="Times New Roman"/>
      </w:rPr>
    </w:lvl>
    <w:lvl w:ilvl="7" w:tplc="04090019" w:tentative="1">
      <w:start w:val="1"/>
      <w:numFmt w:val="lowerLetter"/>
      <w:lvlText w:val="%8)"/>
      <w:lvlJc w:val="left"/>
      <w:pPr>
        <w:ind w:left="1050" w:hanging="420"/>
      </w:pPr>
      <w:rPr>
        <w:rFonts w:cs="Times New Roman"/>
      </w:rPr>
    </w:lvl>
    <w:lvl w:ilvl="8" w:tplc="0409001B" w:tentative="1">
      <w:start w:val="1"/>
      <w:numFmt w:val="lowerRoman"/>
      <w:lvlText w:val="%9."/>
      <w:lvlJc w:val="right"/>
      <w:pPr>
        <w:ind w:left="1470" w:hanging="420"/>
      </w:pPr>
      <w:rPr>
        <w:rFonts w:cs="Times New Roman"/>
      </w:rPr>
    </w:lvl>
  </w:abstractNum>
  <w:abstractNum w:abstractNumId="2">
    <w:nsid w:val="58EA6483"/>
    <w:multiLevelType w:val="hybridMultilevel"/>
    <w:tmpl w:val="9552F2A4"/>
    <w:lvl w:ilvl="0" w:tplc="EFBA5F26">
      <w:start w:val="1"/>
      <w:numFmt w:val="bullet"/>
      <w:lvlText w:val=""/>
      <w:lvlJc w:val="left"/>
      <w:pPr>
        <w:ind w:left="420" w:hanging="420"/>
      </w:pPr>
      <w:rPr>
        <w:rFonts w:ascii="Wingdings" w:hAnsi="Wingdings" w:hint="default"/>
        <w:w w:val="100"/>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
    <w:nsid w:val="6CEA2025"/>
    <w:multiLevelType w:val="multilevel"/>
    <w:tmpl w:val="3CF4B474"/>
    <w:lvl w:ilvl="0">
      <w:start w:val="1"/>
      <w:numFmt w:val="none"/>
      <w:suff w:val="nothing"/>
      <w:lvlText w:val="%1"/>
      <w:lvlJc w:val="left"/>
      <w:rPr>
        <w:rFonts w:ascii="Times New Roman" w:hAnsi="Times New Roman" w:cs="Times New Roman" w:hint="default"/>
        <w:b/>
        <w:i w:val="0"/>
        <w:sz w:val="21"/>
      </w:rPr>
    </w:lvl>
    <w:lvl w:ilvl="1">
      <w:start w:val="1"/>
      <w:numFmt w:val="decimal"/>
      <w:suff w:val="nothing"/>
      <w:lvlText w:val="%1%2　"/>
      <w:lvlJc w:val="left"/>
      <w:rPr>
        <w:rFonts w:ascii="黑体" w:eastAsia="黑体" w:hAnsi="Times New Roman" w:cs="Times New Roman" w:hint="eastAsia"/>
        <w:b w:val="0"/>
        <w:i w:val="0"/>
        <w:sz w:val="21"/>
      </w:rPr>
    </w:lvl>
    <w:lvl w:ilvl="2">
      <w:start w:val="1"/>
      <w:numFmt w:val="decimal"/>
      <w:suff w:val="nothing"/>
      <w:lvlText w:val="%1%2.%3　"/>
      <w:lvlJc w:val="left"/>
      <w:rPr>
        <w:rFonts w:ascii="黑体" w:eastAsia="黑体" w:hAnsi="Times New Roman" w:cs="Times New Roman" w:hint="eastAsia"/>
        <w:b w:val="0"/>
        <w:i w:val="0"/>
        <w:sz w:val="21"/>
      </w:rPr>
    </w:lvl>
    <w:lvl w:ilvl="3">
      <w:start w:val="1"/>
      <w:numFmt w:val="decimal"/>
      <w:suff w:val="nothing"/>
      <w:lvlText w:val="%1%2.%3.%4　"/>
      <w:lvlJc w:val="left"/>
      <w:rPr>
        <w:rFonts w:ascii="黑体" w:eastAsia="黑体" w:hAnsi="Times New Roman" w:cs="Times New Roman" w:hint="eastAsia"/>
        <w:b w:val="0"/>
        <w:i w:val="0"/>
        <w:sz w:val="21"/>
      </w:rPr>
    </w:lvl>
    <w:lvl w:ilvl="4">
      <w:start w:val="1"/>
      <w:numFmt w:val="decimal"/>
      <w:suff w:val="nothing"/>
      <w:lvlText w:val="%1%2.%3.%4.%5　"/>
      <w:lvlJc w:val="left"/>
      <w:rPr>
        <w:rFonts w:ascii="黑体" w:eastAsia="黑体" w:hAnsi="Times New Roman" w:cs="Times New Roman" w:hint="eastAsia"/>
        <w:b w:val="0"/>
        <w:i w:val="0"/>
        <w:sz w:val="21"/>
      </w:rPr>
    </w:lvl>
    <w:lvl w:ilvl="5">
      <w:start w:val="1"/>
      <w:numFmt w:val="decimal"/>
      <w:suff w:val="nothing"/>
      <w:lvlText w:val="%1%2.%3.%4.%5.%6　"/>
      <w:lvlJc w:val="left"/>
      <w:rPr>
        <w:rFonts w:ascii="黑体" w:eastAsia="黑体" w:hAnsi="Times New Roman" w:cs="Times New Roman" w:hint="eastAsia"/>
        <w:b w:val="0"/>
        <w:i w:val="0"/>
        <w:sz w:val="21"/>
      </w:rPr>
    </w:lvl>
    <w:lvl w:ilvl="6">
      <w:start w:val="1"/>
      <w:numFmt w:val="decimal"/>
      <w:suff w:val="nothing"/>
      <w:lvlText w:val="%1%2.%3.%4.%5.%6.%7　"/>
      <w:lvlJc w:val="left"/>
      <w:rPr>
        <w:rFonts w:ascii="黑体" w:eastAsia="黑体" w:hAnsi="Times New Roman" w:cs="Times New Roman" w:hint="eastAsia"/>
        <w:b w:val="0"/>
        <w:i w:val="0"/>
        <w:sz w:val="21"/>
      </w:rPr>
    </w:lvl>
    <w:lvl w:ilvl="7">
      <w:start w:val="1"/>
      <w:numFmt w:val="decimal"/>
      <w:lvlText w:val="%1.%2.%3.%4.%5.%6.%7.%8"/>
      <w:lvlJc w:val="left"/>
      <w:pPr>
        <w:tabs>
          <w:tab w:val="num" w:pos="4351"/>
        </w:tabs>
        <w:ind w:left="3969" w:hanging="1418"/>
      </w:pPr>
      <w:rPr>
        <w:rFonts w:cs="Times New Roman" w:hint="eastAsia"/>
      </w:rPr>
    </w:lvl>
    <w:lvl w:ilvl="8">
      <w:start w:val="1"/>
      <w:numFmt w:val="decimal"/>
      <w:lvlText w:val="%1.%2.%3.%4.%5.%6.%7.%8.%9"/>
      <w:lvlJc w:val="left"/>
      <w:pPr>
        <w:tabs>
          <w:tab w:val="num" w:pos="4777"/>
        </w:tabs>
        <w:ind w:left="4677" w:hanging="1700"/>
      </w:pPr>
      <w:rPr>
        <w:rFonts w:cs="Times New Roman" w:hint="eastAsia"/>
      </w:rPr>
    </w:lvl>
  </w:abstractNum>
  <w:abstractNum w:abstractNumId="4">
    <w:nsid w:val="75354245"/>
    <w:multiLevelType w:val="hybridMultilevel"/>
    <w:tmpl w:val="0690FD00"/>
    <w:lvl w:ilvl="0" w:tplc="94061AA6">
      <w:start w:val="1"/>
      <w:numFmt w:val="decimal"/>
      <w:suff w:val="nothing"/>
      <w:lvlText w:val="表%1："/>
      <w:lvlJc w:val="left"/>
      <w:pPr>
        <w:ind w:left="5666" w:hanging="420"/>
      </w:pPr>
      <w:rPr>
        <w:rFonts w:cs="Times New Roman" w:hint="eastAsia"/>
      </w:rPr>
    </w:lvl>
    <w:lvl w:ilvl="1" w:tplc="04090019" w:tentative="1">
      <w:start w:val="1"/>
      <w:numFmt w:val="lowerLetter"/>
      <w:lvlText w:val="%2)"/>
      <w:lvlJc w:val="left"/>
      <w:pPr>
        <w:ind w:left="5944" w:hanging="420"/>
      </w:pPr>
      <w:rPr>
        <w:rFonts w:cs="Times New Roman"/>
      </w:rPr>
    </w:lvl>
    <w:lvl w:ilvl="2" w:tplc="0409001B" w:tentative="1">
      <w:start w:val="1"/>
      <w:numFmt w:val="lowerRoman"/>
      <w:lvlText w:val="%3."/>
      <w:lvlJc w:val="right"/>
      <w:pPr>
        <w:ind w:left="6364" w:hanging="420"/>
      </w:pPr>
      <w:rPr>
        <w:rFonts w:cs="Times New Roman"/>
      </w:rPr>
    </w:lvl>
    <w:lvl w:ilvl="3" w:tplc="0409000F" w:tentative="1">
      <w:start w:val="1"/>
      <w:numFmt w:val="decimal"/>
      <w:lvlText w:val="%4."/>
      <w:lvlJc w:val="left"/>
      <w:pPr>
        <w:ind w:left="6784" w:hanging="420"/>
      </w:pPr>
      <w:rPr>
        <w:rFonts w:cs="Times New Roman"/>
      </w:rPr>
    </w:lvl>
    <w:lvl w:ilvl="4" w:tplc="04090019" w:tentative="1">
      <w:start w:val="1"/>
      <w:numFmt w:val="lowerLetter"/>
      <w:lvlText w:val="%5)"/>
      <w:lvlJc w:val="left"/>
      <w:pPr>
        <w:ind w:left="7204" w:hanging="420"/>
      </w:pPr>
      <w:rPr>
        <w:rFonts w:cs="Times New Roman"/>
      </w:rPr>
    </w:lvl>
    <w:lvl w:ilvl="5" w:tplc="0409001B" w:tentative="1">
      <w:start w:val="1"/>
      <w:numFmt w:val="lowerRoman"/>
      <w:lvlText w:val="%6."/>
      <w:lvlJc w:val="right"/>
      <w:pPr>
        <w:ind w:left="7624" w:hanging="420"/>
      </w:pPr>
      <w:rPr>
        <w:rFonts w:cs="Times New Roman"/>
      </w:rPr>
    </w:lvl>
    <w:lvl w:ilvl="6" w:tplc="0409000F" w:tentative="1">
      <w:start w:val="1"/>
      <w:numFmt w:val="decimal"/>
      <w:lvlText w:val="%7."/>
      <w:lvlJc w:val="left"/>
      <w:pPr>
        <w:ind w:left="8044" w:hanging="420"/>
      </w:pPr>
      <w:rPr>
        <w:rFonts w:cs="Times New Roman"/>
      </w:rPr>
    </w:lvl>
    <w:lvl w:ilvl="7" w:tplc="04090019" w:tentative="1">
      <w:start w:val="1"/>
      <w:numFmt w:val="lowerLetter"/>
      <w:lvlText w:val="%8)"/>
      <w:lvlJc w:val="left"/>
      <w:pPr>
        <w:ind w:left="8464" w:hanging="420"/>
      </w:pPr>
      <w:rPr>
        <w:rFonts w:cs="Times New Roman"/>
      </w:rPr>
    </w:lvl>
    <w:lvl w:ilvl="8" w:tplc="0409001B" w:tentative="1">
      <w:start w:val="1"/>
      <w:numFmt w:val="lowerRoman"/>
      <w:lvlText w:val="%9."/>
      <w:lvlJc w:val="right"/>
      <w:pPr>
        <w:ind w:left="8884" w:hanging="420"/>
      </w:pPr>
      <w:rPr>
        <w:rFonts w:cs="Times New Roman"/>
      </w:rPr>
    </w:lvl>
  </w:abstractNum>
  <w:abstractNum w:abstractNumId="5">
    <w:nsid w:val="7BDD2F3C"/>
    <w:multiLevelType w:val="multilevel"/>
    <w:tmpl w:val="34E0E100"/>
    <w:lvl w:ilvl="0">
      <w:start w:val="1"/>
      <w:numFmt w:val="chineseCountingThousand"/>
      <w:lvlText w:val="%1、"/>
      <w:lvlJc w:val="left"/>
      <w:pPr>
        <w:tabs>
          <w:tab w:val="num" w:pos="2205"/>
        </w:tabs>
        <w:ind w:left="2205" w:hanging="420"/>
      </w:pPr>
      <w:rPr>
        <w:rFonts w:cs="Times New Roman"/>
      </w:rPr>
    </w:lvl>
    <w:lvl w:ilvl="1">
      <w:start w:val="1"/>
      <w:numFmt w:val="lowerLetter"/>
      <w:lvlText w:val="%2)"/>
      <w:lvlJc w:val="left"/>
      <w:pPr>
        <w:tabs>
          <w:tab w:val="num" w:pos="2625"/>
        </w:tabs>
        <w:ind w:left="2625" w:hanging="420"/>
      </w:pPr>
      <w:rPr>
        <w:rFonts w:cs="Times New Roman"/>
      </w:rPr>
    </w:lvl>
    <w:lvl w:ilvl="2">
      <w:start w:val="1"/>
      <w:numFmt w:val="lowerRoman"/>
      <w:lvlText w:val="%3."/>
      <w:lvlJc w:val="right"/>
      <w:pPr>
        <w:tabs>
          <w:tab w:val="num" w:pos="3045"/>
        </w:tabs>
        <w:ind w:left="3045" w:hanging="420"/>
      </w:pPr>
      <w:rPr>
        <w:rFonts w:cs="Times New Roman"/>
      </w:rPr>
    </w:lvl>
    <w:lvl w:ilvl="3">
      <w:start w:val="1"/>
      <w:numFmt w:val="decimal"/>
      <w:lvlText w:val="%4."/>
      <w:lvlJc w:val="left"/>
      <w:pPr>
        <w:tabs>
          <w:tab w:val="num" w:pos="3465"/>
        </w:tabs>
        <w:ind w:left="3465" w:hanging="420"/>
      </w:pPr>
      <w:rPr>
        <w:rFonts w:cs="Times New Roman"/>
      </w:rPr>
    </w:lvl>
    <w:lvl w:ilvl="4">
      <w:start w:val="1"/>
      <w:numFmt w:val="lowerLetter"/>
      <w:lvlText w:val="%5)"/>
      <w:lvlJc w:val="left"/>
      <w:pPr>
        <w:tabs>
          <w:tab w:val="num" w:pos="3885"/>
        </w:tabs>
        <w:ind w:left="3885" w:hanging="420"/>
      </w:pPr>
      <w:rPr>
        <w:rFonts w:cs="Times New Roman"/>
      </w:rPr>
    </w:lvl>
    <w:lvl w:ilvl="5">
      <w:start w:val="1"/>
      <w:numFmt w:val="lowerRoman"/>
      <w:lvlText w:val="%6."/>
      <w:lvlJc w:val="right"/>
      <w:pPr>
        <w:tabs>
          <w:tab w:val="num" w:pos="4305"/>
        </w:tabs>
        <w:ind w:left="4305" w:hanging="420"/>
      </w:pPr>
      <w:rPr>
        <w:rFonts w:cs="Times New Roman"/>
      </w:rPr>
    </w:lvl>
    <w:lvl w:ilvl="6">
      <w:start w:val="1"/>
      <w:numFmt w:val="decimal"/>
      <w:lvlText w:val="%7."/>
      <w:lvlJc w:val="left"/>
      <w:pPr>
        <w:tabs>
          <w:tab w:val="num" w:pos="4725"/>
        </w:tabs>
        <w:ind w:left="4725" w:hanging="420"/>
      </w:pPr>
      <w:rPr>
        <w:rFonts w:cs="Times New Roman"/>
      </w:rPr>
    </w:lvl>
    <w:lvl w:ilvl="7">
      <w:start w:val="1"/>
      <w:numFmt w:val="lowerLetter"/>
      <w:lvlText w:val="%8)"/>
      <w:lvlJc w:val="left"/>
      <w:pPr>
        <w:tabs>
          <w:tab w:val="num" w:pos="5145"/>
        </w:tabs>
        <w:ind w:left="5145" w:hanging="420"/>
      </w:pPr>
      <w:rPr>
        <w:rFonts w:cs="Times New Roman"/>
      </w:rPr>
    </w:lvl>
    <w:lvl w:ilvl="8">
      <w:start w:val="1"/>
      <w:numFmt w:val="lowerRoman"/>
      <w:lvlText w:val="%9."/>
      <w:lvlJc w:val="right"/>
      <w:pPr>
        <w:tabs>
          <w:tab w:val="num" w:pos="5565"/>
        </w:tabs>
        <w:ind w:left="5565" w:hanging="420"/>
      </w:pPr>
      <w:rPr>
        <w:rFonts w:cs="Times New Roman"/>
      </w:rPr>
    </w:lvl>
  </w:abstractNum>
  <w:num w:numId="1">
    <w:abstractNumId w:val="0"/>
  </w:num>
  <w:num w:numId="2">
    <w:abstractNumId w:val="3"/>
  </w:num>
  <w:num w:numId="3">
    <w:abstractNumId w:val="5"/>
  </w:num>
  <w:num w:numId="4">
    <w:abstractNumId w:val="1"/>
  </w:num>
  <w:num w:numId="5">
    <w:abstractNumId w:val="4"/>
  </w:num>
  <w:num w:numId="6">
    <w:abstractNumId w:val="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noLineBreaksAfter w:lang="zh-CN" w:val="$([{£¥·‘“〈《「『【〔〖〝﹙﹛﹝＄（．［｛￡￥"/>
  <w:noLineBreaksBefore w:lang="zh-CN" w:val="!%),.:;&gt;?]}¢¨°·ˇˉ―‖’”…‰′″›℃∶、。〃〉》」』】〕〗〞︶︺︾﹀﹄﹚﹜﹞！＂％＇），．：；？］｀｜｝～￠"/>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F76A6"/>
    <w:rsid w:val="00000467"/>
    <w:rsid w:val="00000F83"/>
    <w:rsid w:val="000012F2"/>
    <w:rsid w:val="00001483"/>
    <w:rsid w:val="00001CFC"/>
    <w:rsid w:val="00001DC5"/>
    <w:rsid w:val="00001EF7"/>
    <w:rsid w:val="00001F73"/>
    <w:rsid w:val="0000208E"/>
    <w:rsid w:val="000021F0"/>
    <w:rsid w:val="000022C3"/>
    <w:rsid w:val="00002315"/>
    <w:rsid w:val="0000262F"/>
    <w:rsid w:val="000027DA"/>
    <w:rsid w:val="0000291B"/>
    <w:rsid w:val="00002ADD"/>
    <w:rsid w:val="00002DC7"/>
    <w:rsid w:val="000031C3"/>
    <w:rsid w:val="00003661"/>
    <w:rsid w:val="00003B7B"/>
    <w:rsid w:val="00003C2A"/>
    <w:rsid w:val="00003FD3"/>
    <w:rsid w:val="00004074"/>
    <w:rsid w:val="00004276"/>
    <w:rsid w:val="00004510"/>
    <w:rsid w:val="0000461C"/>
    <w:rsid w:val="000052B5"/>
    <w:rsid w:val="0000541F"/>
    <w:rsid w:val="0000545E"/>
    <w:rsid w:val="0000596D"/>
    <w:rsid w:val="000061F8"/>
    <w:rsid w:val="0000624E"/>
    <w:rsid w:val="000062A1"/>
    <w:rsid w:val="0000642A"/>
    <w:rsid w:val="0000644F"/>
    <w:rsid w:val="000064A6"/>
    <w:rsid w:val="0000688B"/>
    <w:rsid w:val="0000689B"/>
    <w:rsid w:val="000069AC"/>
    <w:rsid w:val="00006AA9"/>
    <w:rsid w:val="00006ADF"/>
    <w:rsid w:val="000072B8"/>
    <w:rsid w:val="00007353"/>
    <w:rsid w:val="000074BF"/>
    <w:rsid w:val="000103FF"/>
    <w:rsid w:val="000105F3"/>
    <w:rsid w:val="0001145F"/>
    <w:rsid w:val="000119E1"/>
    <w:rsid w:val="00011A7D"/>
    <w:rsid w:val="00012150"/>
    <w:rsid w:val="0001215B"/>
    <w:rsid w:val="00012179"/>
    <w:rsid w:val="0001229C"/>
    <w:rsid w:val="00012347"/>
    <w:rsid w:val="0001270F"/>
    <w:rsid w:val="000129FE"/>
    <w:rsid w:val="00012A9D"/>
    <w:rsid w:val="00012CC5"/>
    <w:rsid w:val="00012D28"/>
    <w:rsid w:val="00014471"/>
    <w:rsid w:val="000144F1"/>
    <w:rsid w:val="00014DD7"/>
    <w:rsid w:val="00015DE5"/>
    <w:rsid w:val="00017718"/>
    <w:rsid w:val="00017E02"/>
    <w:rsid w:val="00017FA3"/>
    <w:rsid w:val="00020248"/>
    <w:rsid w:val="0002050B"/>
    <w:rsid w:val="000206CA"/>
    <w:rsid w:val="00020727"/>
    <w:rsid w:val="000211EF"/>
    <w:rsid w:val="0002126A"/>
    <w:rsid w:val="00021A4C"/>
    <w:rsid w:val="00021B28"/>
    <w:rsid w:val="00022B99"/>
    <w:rsid w:val="00022D71"/>
    <w:rsid w:val="00022DAE"/>
    <w:rsid w:val="00022F19"/>
    <w:rsid w:val="0002309A"/>
    <w:rsid w:val="00023248"/>
    <w:rsid w:val="000232A9"/>
    <w:rsid w:val="0002383F"/>
    <w:rsid w:val="0002392A"/>
    <w:rsid w:val="00023ABA"/>
    <w:rsid w:val="000240D2"/>
    <w:rsid w:val="0002451B"/>
    <w:rsid w:val="00024641"/>
    <w:rsid w:val="00024812"/>
    <w:rsid w:val="00024A7D"/>
    <w:rsid w:val="00024C2D"/>
    <w:rsid w:val="00024EC6"/>
    <w:rsid w:val="00024F5A"/>
    <w:rsid w:val="00024FD2"/>
    <w:rsid w:val="00025188"/>
    <w:rsid w:val="000258AD"/>
    <w:rsid w:val="00025C6E"/>
    <w:rsid w:val="00026329"/>
    <w:rsid w:val="0002665D"/>
    <w:rsid w:val="000276D9"/>
    <w:rsid w:val="00027C53"/>
    <w:rsid w:val="0003003B"/>
    <w:rsid w:val="0003043D"/>
    <w:rsid w:val="0003053C"/>
    <w:rsid w:val="000308CD"/>
    <w:rsid w:val="00030B29"/>
    <w:rsid w:val="000318CD"/>
    <w:rsid w:val="000318D7"/>
    <w:rsid w:val="00031E4D"/>
    <w:rsid w:val="00031FCA"/>
    <w:rsid w:val="00032352"/>
    <w:rsid w:val="00032C98"/>
    <w:rsid w:val="00032D4E"/>
    <w:rsid w:val="00033305"/>
    <w:rsid w:val="0003357D"/>
    <w:rsid w:val="000336E4"/>
    <w:rsid w:val="00033E08"/>
    <w:rsid w:val="00034140"/>
    <w:rsid w:val="0003564F"/>
    <w:rsid w:val="000359E1"/>
    <w:rsid w:val="00035A7E"/>
    <w:rsid w:val="00036918"/>
    <w:rsid w:val="00036D8B"/>
    <w:rsid w:val="00036EE8"/>
    <w:rsid w:val="00037126"/>
    <w:rsid w:val="00037483"/>
    <w:rsid w:val="00037696"/>
    <w:rsid w:val="000379F8"/>
    <w:rsid w:val="00037CD1"/>
    <w:rsid w:val="00037F66"/>
    <w:rsid w:val="00040119"/>
    <w:rsid w:val="000403B9"/>
    <w:rsid w:val="0004064D"/>
    <w:rsid w:val="00040669"/>
    <w:rsid w:val="00040911"/>
    <w:rsid w:val="000414D1"/>
    <w:rsid w:val="00041B84"/>
    <w:rsid w:val="00041B88"/>
    <w:rsid w:val="00041D4B"/>
    <w:rsid w:val="00041F45"/>
    <w:rsid w:val="0004223A"/>
    <w:rsid w:val="000427FD"/>
    <w:rsid w:val="00042F1B"/>
    <w:rsid w:val="000431AC"/>
    <w:rsid w:val="000433DB"/>
    <w:rsid w:val="00043496"/>
    <w:rsid w:val="0004372D"/>
    <w:rsid w:val="000439AD"/>
    <w:rsid w:val="000440AD"/>
    <w:rsid w:val="0004445E"/>
    <w:rsid w:val="00044EAD"/>
    <w:rsid w:val="00044F3A"/>
    <w:rsid w:val="000451EC"/>
    <w:rsid w:val="00045508"/>
    <w:rsid w:val="00046143"/>
    <w:rsid w:val="0004661B"/>
    <w:rsid w:val="00046872"/>
    <w:rsid w:val="00046CB0"/>
    <w:rsid w:val="000473B3"/>
    <w:rsid w:val="000475BA"/>
    <w:rsid w:val="00047959"/>
    <w:rsid w:val="000479D4"/>
    <w:rsid w:val="0005028E"/>
    <w:rsid w:val="000503D2"/>
    <w:rsid w:val="0005097B"/>
    <w:rsid w:val="00051293"/>
    <w:rsid w:val="00051421"/>
    <w:rsid w:val="00051A6D"/>
    <w:rsid w:val="00051C6B"/>
    <w:rsid w:val="00051CE5"/>
    <w:rsid w:val="00051E5C"/>
    <w:rsid w:val="00052178"/>
    <w:rsid w:val="0005220B"/>
    <w:rsid w:val="00052435"/>
    <w:rsid w:val="000524C4"/>
    <w:rsid w:val="00052630"/>
    <w:rsid w:val="000527EE"/>
    <w:rsid w:val="00052A69"/>
    <w:rsid w:val="00052ACF"/>
    <w:rsid w:val="00052D87"/>
    <w:rsid w:val="000531AB"/>
    <w:rsid w:val="000537C6"/>
    <w:rsid w:val="00053DA4"/>
    <w:rsid w:val="00054001"/>
    <w:rsid w:val="000541DC"/>
    <w:rsid w:val="0005444D"/>
    <w:rsid w:val="000545BD"/>
    <w:rsid w:val="000545EC"/>
    <w:rsid w:val="00055325"/>
    <w:rsid w:val="00055359"/>
    <w:rsid w:val="0005539E"/>
    <w:rsid w:val="0005605A"/>
    <w:rsid w:val="000567D3"/>
    <w:rsid w:val="00056A7B"/>
    <w:rsid w:val="00056C14"/>
    <w:rsid w:val="00056D78"/>
    <w:rsid w:val="00056FD5"/>
    <w:rsid w:val="00057001"/>
    <w:rsid w:val="00057B0C"/>
    <w:rsid w:val="00057BDC"/>
    <w:rsid w:val="00060A7F"/>
    <w:rsid w:val="00060DD3"/>
    <w:rsid w:val="00060F1A"/>
    <w:rsid w:val="00061208"/>
    <w:rsid w:val="00061793"/>
    <w:rsid w:val="00061970"/>
    <w:rsid w:val="00061C39"/>
    <w:rsid w:val="00061D31"/>
    <w:rsid w:val="00061D5A"/>
    <w:rsid w:val="000620E7"/>
    <w:rsid w:val="0006298D"/>
    <w:rsid w:val="00064099"/>
    <w:rsid w:val="0006418F"/>
    <w:rsid w:val="000645F8"/>
    <w:rsid w:val="00065196"/>
    <w:rsid w:val="000653C1"/>
    <w:rsid w:val="000656D9"/>
    <w:rsid w:val="000659B5"/>
    <w:rsid w:val="00065A7D"/>
    <w:rsid w:val="00065D21"/>
    <w:rsid w:val="00066171"/>
    <w:rsid w:val="000665F3"/>
    <w:rsid w:val="00066CD3"/>
    <w:rsid w:val="00066F72"/>
    <w:rsid w:val="0006719F"/>
    <w:rsid w:val="000673E3"/>
    <w:rsid w:val="00067741"/>
    <w:rsid w:val="00067C13"/>
    <w:rsid w:val="00067C3E"/>
    <w:rsid w:val="00067F8C"/>
    <w:rsid w:val="00070332"/>
    <w:rsid w:val="00070B52"/>
    <w:rsid w:val="000712E8"/>
    <w:rsid w:val="000717D9"/>
    <w:rsid w:val="00071E48"/>
    <w:rsid w:val="00071E59"/>
    <w:rsid w:val="0007217C"/>
    <w:rsid w:val="0007240B"/>
    <w:rsid w:val="00072E3A"/>
    <w:rsid w:val="00073732"/>
    <w:rsid w:val="00073ED0"/>
    <w:rsid w:val="000745F8"/>
    <w:rsid w:val="00074D9C"/>
    <w:rsid w:val="00075939"/>
    <w:rsid w:val="0007594C"/>
    <w:rsid w:val="00075E71"/>
    <w:rsid w:val="00075EDC"/>
    <w:rsid w:val="00077337"/>
    <w:rsid w:val="000776D9"/>
    <w:rsid w:val="0007772D"/>
    <w:rsid w:val="0007791F"/>
    <w:rsid w:val="00077F9C"/>
    <w:rsid w:val="000801B8"/>
    <w:rsid w:val="000806AB"/>
    <w:rsid w:val="00080A33"/>
    <w:rsid w:val="00080B3D"/>
    <w:rsid w:val="00080D89"/>
    <w:rsid w:val="00080DC8"/>
    <w:rsid w:val="00080E3B"/>
    <w:rsid w:val="00080EAE"/>
    <w:rsid w:val="0008139F"/>
    <w:rsid w:val="000815B8"/>
    <w:rsid w:val="000815D7"/>
    <w:rsid w:val="00082387"/>
    <w:rsid w:val="000825C9"/>
    <w:rsid w:val="0008286C"/>
    <w:rsid w:val="000828E2"/>
    <w:rsid w:val="00082CE0"/>
    <w:rsid w:val="00083D73"/>
    <w:rsid w:val="000842A1"/>
    <w:rsid w:val="00084AAB"/>
    <w:rsid w:val="00084C8F"/>
    <w:rsid w:val="00084F81"/>
    <w:rsid w:val="00085367"/>
    <w:rsid w:val="0008539F"/>
    <w:rsid w:val="00086074"/>
    <w:rsid w:val="00086BD7"/>
    <w:rsid w:val="00087193"/>
    <w:rsid w:val="000878FE"/>
    <w:rsid w:val="00087AA1"/>
    <w:rsid w:val="00087B8B"/>
    <w:rsid w:val="00090001"/>
    <w:rsid w:val="000902F9"/>
    <w:rsid w:val="000906B3"/>
    <w:rsid w:val="000906DD"/>
    <w:rsid w:val="000909A7"/>
    <w:rsid w:val="000909B7"/>
    <w:rsid w:val="00090C78"/>
    <w:rsid w:val="00090E4E"/>
    <w:rsid w:val="00090FB2"/>
    <w:rsid w:val="000910D4"/>
    <w:rsid w:val="0009133A"/>
    <w:rsid w:val="0009197F"/>
    <w:rsid w:val="00091A32"/>
    <w:rsid w:val="000922EF"/>
    <w:rsid w:val="000926A6"/>
    <w:rsid w:val="000926BB"/>
    <w:rsid w:val="000929FF"/>
    <w:rsid w:val="00092AC8"/>
    <w:rsid w:val="00092D1F"/>
    <w:rsid w:val="00092FC7"/>
    <w:rsid w:val="00093302"/>
    <w:rsid w:val="0009370E"/>
    <w:rsid w:val="000939F6"/>
    <w:rsid w:val="00094226"/>
    <w:rsid w:val="00094559"/>
    <w:rsid w:val="00094A07"/>
    <w:rsid w:val="00094BC4"/>
    <w:rsid w:val="00094EEB"/>
    <w:rsid w:val="00095010"/>
    <w:rsid w:val="00095364"/>
    <w:rsid w:val="000958D3"/>
    <w:rsid w:val="00095CD1"/>
    <w:rsid w:val="00095DAC"/>
    <w:rsid w:val="00096904"/>
    <w:rsid w:val="0009751C"/>
    <w:rsid w:val="0009757D"/>
    <w:rsid w:val="00097847"/>
    <w:rsid w:val="00097F2E"/>
    <w:rsid w:val="000A04DC"/>
    <w:rsid w:val="000A0937"/>
    <w:rsid w:val="000A11AC"/>
    <w:rsid w:val="000A1471"/>
    <w:rsid w:val="000A1562"/>
    <w:rsid w:val="000A188A"/>
    <w:rsid w:val="000A1DA8"/>
    <w:rsid w:val="000A1DF2"/>
    <w:rsid w:val="000A214E"/>
    <w:rsid w:val="000A241D"/>
    <w:rsid w:val="000A29F2"/>
    <w:rsid w:val="000A2B24"/>
    <w:rsid w:val="000A2CB3"/>
    <w:rsid w:val="000A2D6F"/>
    <w:rsid w:val="000A355D"/>
    <w:rsid w:val="000A3765"/>
    <w:rsid w:val="000A38E0"/>
    <w:rsid w:val="000A3E36"/>
    <w:rsid w:val="000A413C"/>
    <w:rsid w:val="000A4C19"/>
    <w:rsid w:val="000A4DFE"/>
    <w:rsid w:val="000A4F14"/>
    <w:rsid w:val="000A5029"/>
    <w:rsid w:val="000A50C9"/>
    <w:rsid w:val="000A515E"/>
    <w:rsid w:val="000A547D"/>
    <w:rsid w:val="000A5523"/>
    <w:rsid w:val="000A5646"/>
    <w:rsid w:val="000A5E93"/>
    <w:rsid w:val="000A5F50"/>
    <w:rsid w:val="000A5FB7"/>
    <w:rsid w:val="000A6A5F"/>
    <w:rsid w:val="000A6AFB"/>
    <w:rsid w:val="000A6EEB"/>
    <w:rsid w:val="000A6F1A"/>
    <w:rsid w:val="000A6FDA"/>
    <w:rsid w:val="000A751E"/>
    <w:rsid w:val="000B0A76"/>
    <w:rsid w:val="000B1F69"/>
    <w:rsid w:val="000B1FD2"/>
    <w:rsid w:val="000B203E"/>
    <w:rsid w:val="000B2686"/>
    <w:rsid w:val="000B289C"/>
    <w:rsid w:val="000B2AA4"/>
    <w:rsid w:val="000B32F2"/>
    <w:rsid w:val="000B341F"/>
    <w:rsid w:val="000B37C4"/>
    <w:rsid w:val="000B4081"/>
    <w:rsid w:val="000B4150"/>
    <w:rsid w:val="000B4402"/>
    <w:rsid w:val="000B467E"/>
    <w:rsid w:val="000B4B7B"/>
    <w:rsid w:val="000B4D93"/>
    <w:rsid w:val="000B50DE"/>
    <w:rsid w:val="000B5129"/>
    <w:rsid w:val="000B541E"/>
    <w:rsid w:val="000B58BA"/>
    <w:rsid w:val="000B59F9"/>
    <w:rsid w:val="000B5B6B"/>
    <w:rsid w:val="000B658B"/>
    <w:rsid w:val="000B7D07"/>
    <w:rsid w:val="000C0187"/>
    <w:rsid w:val="000C02B3"/>
    <w:rsid w:val="000C0E67"/>
    <w:rsid w:val="000C17A3"/>
    <w:rsid w:val="000C1859"/>
    <w:rsid w:val="000C18F9"/>
    <w:rsid w:val="000C2147"/>
    <w:rsid w:val="000C21C7"/>
    <w:rsid w:val="000C290F"/>
    <w:rsid w:val="000C2A95"/>
    <w:rsid w:val="000C2AF2"/>
    <w:rsid w:val="000C2CBF"/>
    <w:rsid w:val="000C3726"/>
    <w:rsid w:val="000C379A"/>
    <w:rsid w:val="000C381B"/>
    <w:rsid w:val="000C3CBB"/>
    <w:rsid w:val="000C3F2A"/>
    <w:rsid w:val="000C4348"/>
    <w:rsid w:val="000C46CB"/>
    <w:rsid w:val="000C4879"/>
    <w:rsid w:val="000C4A0D"/>
    <w:rsid w:val="000C4B5D"/>
    <w:rsid w:val="000C4D09"/>
    <w:rsid w:val="000C4DFB"/>
    <w:rsid w:val="000C4FD1"/>
    <w:rsid w:val="000C5031"/>
    <w:rsid w:val="000C5362"/>
    <w:rsid w:val="000C587A"/>
    <w:rsid w:val="000C58AC"/>
    <w:rsid w:val="000C59F2"/>
    <w:rsid w:val="000C5AA7"/>
    <w:rsid w:val="000C5AE6"/>
    <w:rsid w:val="000C5D23"/>
    <w:rsid w:val="000C6678"/>
    <w:rsid w:val="000C6ACD"/>
    <w:rsid w:val="000C6D3A"/>
    <w:rsid w:val="000C71C4"/>
    <w:rsid w:val="000C7C5C"/>
    <w:rsid w:val="000C7DCC"/>
    <w:rsid w:val="000C7FC2"/>
    <w:rsid w:val="000D01E5"/>
    <w:rsid w:val="000D0627"/>
    <w:rsid w:val="000D09C0"/>
    <w:rsid w:val="000D0F8E"/>
    <w:rsid w:val="000D14B5"/>
    <w:rsid w:val="000D153E"/>
    <w:rsid w:val="000D169F"/>
    <w:rsid w:val="000D1D4D"/>
    <w:rsid w:val="000D1F6B"/>
    <w:rsid w:val="000D23AE"/>
    <w:rsid w:val="000D25B4"/>
    <w:rsid w:val="000D304A"/>
    <w:rsid w:val="000D332B"/>
    <w:rsid w:val="000D343F"/>
    <w:rsid w:val="000D3681"/>
    <w:rsid w:val="000D3AF8"/>
    <w:rsid w:val="000D3DA2"/>
    <w:rsid w:val="000D3DB8"/>
    <w:rsid w:val="000D3E6A"/>
    <w:rsid w:val="000D4007"/>
    <w:rsid w:val="000D43B0"/>
    <w:rsid w:val="000D45EC"/>
    <w:rsid w:val="000D491C"/>
    <w:rsid w:val="000D50A2"/>
    <w:rsid w:val="000D5444"/>
    <w:rsid w:val="000D5922"/>
    <w:rsid w:val="000D5924"/>
    <w:rsid w:val="000D6430"/>
    <w:rsid w:val="000D6505"/>
    <w:rsid w:val="000D6737"/>
    <w:rsid w:val="000D6773"/>
    <w:rsid w:val="000D7137"/>
    <w:rsid w:val="000D7A2E"/>
    <w:rsid w:val="000D7BA8"/>
    <w:rsid w:val="000E0326"/>
    <w:rsid w:val="000E0797"/>
    <w:rsid w:val="000E0BB3"/>
    <w:rsid w:val="000E115D"/>
    <w:rsid w:val="000E179E"/>
    <w:rsid w:val="000E18F7"/>
    <w:rsid w:val="000E21CB"/>
    <w:rsid w:val="000E272B"/>
    <w:rsid w:val="000E2CAB"/>
    <w:rsid w:val="000E3250"/>
    <w:rsid w:val="000E3456"/>
    <w:rsid w:val="000E34D4"/>
    <w:rsid w:val="000E3608"/>
    <w:rsid w:val="000E3665"/>
    <w:rsid w:val="000E36F6"/>
    <w:rsid w:val="000E3BD8"/>
    <w:rsid w:val="000E3DD2"/>
    <w:rsid w:val="000E4286"/>
    <w:rsid w:val="000E46D6"/>
    <w:rsid w:val="000E4B7B"/>
    <w:rsid w:val="000E4CC5"/>
    <w:rsid w:val="000E5D6D"/>
    <w:rsid w:val="000E5DE6"/>
    <w:rsid w:val="000E6549"/>
    <w:rsid w:val="000E65D0"/>
    <w:rsid w:val="000E681C"/>
    <w:rsid w:val="000E6ECC"/>
    <w:rsid w:val="000E7274"/>
    <w:rsid w:val="000E73FD"/>
    <w:rsid w:val="000E7AB2"/>
    <w:rsid w:val="000E7C69"/>
    <w:rsid w:val="000E7C6C"/>
    <w:rsid w:val="000E7CC2"/>
    <w:rsid w:val="000F006B"/>
    <w:rsid w:val="000F0AD8"/>
    <w:rsid w:val="000F0F11"/>
    <w:rsid w:val="000F12B2"/>
    <w:rsid w:val="000F1960"/>
    <w:rsid w:val="000F1B76"/>
    <w:rsid w:val="000F2042"/>
    <w:rsid w:val="000F209E"/>
    <w:rsid w:val="000F279B"/>
    <w:rsid w:val="000F2840"/>
    <w:rsid w:val="000F2C26"/>
    <w:rsid w:val="000F2CB7"/>
    <w:rsid w:val="000F2E8A"/>
    <w:rsid w:val="000F2F26"/>
    <w:rsid w:val="000F3257"/>
    <w:rsid w:val="000F33D1"/>
    <w:rsid w:val="000F3631"/>
    <w:rsid w:val="000F3AEF"/>
    <w:rsid w:val="000F3BF6"/>
    <w:rsid w:val="000F3DF7"/>
    <w:rsid w:val="000F3E9D"/>
    <w:rsid w:val="000F404A"/>
    <w:rsid w:val="000F42F5"/>
    <w:rsid w:val="000F43FA"/>
    <w:rsid w:val="000F4932"/>
    <w:rsid w:val="000F4A05"/>
    <w:rsid w:val="000F4CB3"/>
    <w:rsid w:val="000F4EA0"/>
    <w:rsid w:val="000F4F43"/>
    <w:rsid w:val="000F547B"/>
    <w:rsid w:val="000F55E3"/>
    <w:rsid w:val="000F56D8"/>
    <w:rsid w:val="000F588B"/>
    <w:rsid w:val="000F5D90"/>
    <w:rsid w:val="000F6567"/>
    <w:rsid w:val="000F7297"/>
    <w:rsid w:val="000F762F"/>
    <w:rsid w:val="000F79AD"/>
    <w:rsid w:val="000F7BB3"/>
    <w:rsid w:val="000F7D70"/>
    <w:rsid w:val="000F7E78"/>
    <w:rsid w:val="000F7EE0"/>
    <w:rsid w:val="00100236"/>
    <w:rsid w:val="00100753"/>
    <w:rsid w:val="001008F5"/>
    <w:rsid w:val="00100953"/>
    <w:rsid w:val="00101075"/>
    <w:rsid w:val="00101766"/>
    <w:rsid w:val="00101906"/>
    <w:rsid w:val="00101C8D"/>
    <w:rsid w:val="0010313C"/>
    <w:rsid w:val="001037EC"/>
    <w:rsid w:val="00103E26"/>
    <w:rsid w:val="00103FF9"/>
    <w:rsid w:val="001041EE"/>
    <w:rsid w:val="0010432F"/>
    <w:rsid w:val="00104837"/>
    <w:rsid w:val="001048C6"/>
    <w:rsid w:val="00104B5E"/>
    <w:rsid w:val="00105054"/>
    <w:rsid w:val="001053C8"/>
    <w:rsid w:val="001054F4"/>
    <w:rsid w:val="00105728"/>
    <w:rsid w:val="00105C65"/>
    <w:rsid w:val="00105D09"/>
    <w:rsid w:val="001060EA"/>
    <w:rsid w:val="00106298"/>
    <w:rsid w:val="00106495"/>
    <w:rsid w:val="001065A0"/>
    <w:rsid w:val="00106941"/>
    <w:rsid w:val="00106B4B"/>
    <w:rsid w:val="00106D3C"/>
    <w:rsid w:val="00106E57"/>
    <w:rsid w:val="001075B1"/>
    <w:rsid w:val="001076D2"/>
    <w:rsid w:val="00107799"/>
    <w:rsid w:val="00107AEE"/>
    <w:rsid w:val="00110032"/>
    <w:rsid w:val="00110394"/>
    <w:rsid w:val="0011094C"/>
    <w:rsid w:val="00110960"/>
    <w:rsid w:val="00110D89"/>
    <w:rsid w:val="00110DDD"/>
    <w:rsid w:val="001115C6"/>
    <w:rsid w:val="00111895"/>
    <w:rsid w:val="00111C1D"/>
    <w:rsid w:val="00111FC5"/>
    <w:rsid w:val="00112328"/>
    <w:rsid w:val="001123C6"/>
    <w:rsid w:val="00112855"/>
    <w:rsid w:val="0011288E"/>
    <w:rsid w:val="00112988"/>
    <w:rsid w:val="00112DB9"/>
    <w:rsid w:val="0011303D"/>
    <w:rsid w:val="0011332A"/>
    <w:rsid w:val="00113410"/>
    <w:rsid w:val="00113524"/>
    <w:rsid w:val="00113934"/>
    <w:rsid w:val="00113B77"/>
    <w:rsid w:val="00114254"/>
    <w:rsid w:val="0011449D"/>
    <w:rsid w:val="001145F4"/>
    <w:rsid w:val="00114958"/>
    <w:rsid w:val="001149A9"/>
    <w:rsid w:val="00115024"/>
    <w:rsid w:val="00115470"/>
    <w:rsid w:val="00115E85"/>
    <w:rsid w:val="00116076"/>
    <w:rsid w:val="001165D2"/>
    <w:rsid w:val="00116939"/>
    <w:rsid w:val="00116A23"/>
    <w:rsid w:val="00116B42"/>
    <w:rsid w:val="00117614"/>
    <w:rsid w:val="0011786E"/>
    <w:rsid w:val="001209A2"/>
    <w:rsid w:val="00120D02"/>
    <w:rsid w:val="0012196C"/>
    <w:rsid w:val="001219D3"/>
    <w:rsid w:val="00121A77"/>
    <w:rsid w:val="00121C97"/>
    <w:rsid w:val="00122119"/>
    <w:rsid w:val="00122475"/>
    <w:rsid w:val="00122883"/>
    <w:rsid w:val="00122FBC"/>
    <w:rsid w:val="0012340A"/>
    <w:rsid w:val="00123935"/>
    <w:rsid w:val="001240EC"/>
    <w:rsid w:val="001242AB"/>
    <w:rsid w:val="00124742"/>
    <w:rsid w:val="00124B7D"/>
    <w:rsid w:val="00124F25"/>
    <w:rsid w:val="00125125"/>
    <w:rsid w:val="00125284"/>
    <w:rsid w:val="00125417"/>
    <w:rsid w:val="001256C1"/>
    <w:rsid w:val="001256C4"/>
    <w:rsid w:val="00125890"/>
    <w:rsid w:val="0012594B"/>
    <w:rsid w:val="0012598A"/>
    <w:rsid w:val="00125C3B"/>
    <w:rsid w:val="00125C94"/>
    <w:rsid w:val="00125F3A"/>
    <w:rsid w:val="00126007"/>
    <w:rsid w:val="00126465"/>
    <w:rsid w:val="001266D7"/>
    <w:rsid w:val="0012695E"/>
    <w:rsid w:val="0012711C"/>
    <w:rsid w:val="001271C2"/>
    <w:rsid w:val="001274E4"/>
    <w:rsid w:val="0012755B"/>
    <w:rsid w:val="00127640"/>
    <w:rsid w:val="0012780E"/>
    <w:rsid w:val="00127B83"/>
    <w:rsid w:val="00127C3D"/>
    <w:rsid w:val="00127D98"/>
    <w:rsid w:val="00127E91"/>
    <w:rsid w:val="00130920"/>
    <w:rsid w:val="00130C3F"/>
    <w:rsid w:val="00130C7F"/>
    <w:rsid w:val="00130CE9"/>
    <w:rsid w:val="00130D5A"/>
    <w:rsid w:val="00131173"/>
    <w:rsid w:val="0013152E"/>
    <w:rsid w:val="0013159B"/>
    <w:rsid w:val="00131B64"/>
    <w:rsid w:val="00131C3E"/>
    <w:rsid w:val="00131EEA"/>
    <w:rsid w:val="001322E6"/>
    <w:rsid w:val="001323E9"/>
    <w:rsid w:val="00132848"/>
    <w:rsid w:val="00132900"/>
    <w:rsid w:val="00132E8C"/>
    <w:rsid w:val="00133373"/>
    <w:rsid w:val="001335B2"/>
    <w:rsid w:val="00133662"/>
    <w:rsid w:val="00133673"/>
    <w:rsid w:val="001348A2"/>
    <w:rsid w:val="00134D35"/>
    <w:rsid w:val="00134ED2"/>
    <w:rsid w:val="001351C8"/>
    <w:rsid w:val="00135345"/>
    <w:rsid w:val="00135383"/>
    <w:rsid w:val="00135A0E"/>
    <w:rsid w:val="00136519"/>
    <w:rsid w:val="00136948"/>
    <w:rsid w:val="00136A16"/>
    <w:rsid w:val="00136FCA"/>
    <w:rsid w:val="00137017"/>
    <w:rsid w:val="0013712E"/>
    <w:rsid w:val="001371F9"/>
    <w:rsid w:val="00137344"/>
    <w:rsid w:val="00137432"/>
    <w:rsid w:val="00137C00"/>
    <w:rsid w:val="0014008F"/>
    <w:rsid w:val="00140105"/>
    <w:rsid w:val="001404F2"/>
    <w:rsid w:val="00140863"/>
    <w:rsid w:val="00140A64"/>
    <w:rsid w:val="00140D8D"/>
    <w:rsid w:val="00140F95"/>
    <w:rsid w:val="00141ACA"/>
    <w:rsid w:val="00141EA0"/>
    <w:rsid w:val="00142AAA"/>
    <w:rsid w:val="00142D94"/>
    <w:rsid w:val="0014314C"/>
    <w:rsid w:val="00143880"/>
    <w:rsid w:val="001442D4"/>
    <w:rsid w:val="00146302"/>
    <w:rsid w:val="0014663F"/>
    <w:rsid w:val="001467D7"/>
    <w:rsid w:val="00146986"/>
    <w:rsid w:val="00146A00"/>
    <w:rsid w:val="00146AFE"/>
    <w:rsid w:val="001470E9"/>
    <w:rsid w:val="00147759"/>
    <w:rsid w:val="00150069"/>
    <w:rsid w:val="00150324"/>
    <w:rsid w:val="00150659"/>
    <w:rsid w:val="0015065F"/>
    <w:rsid w:val="001507F7"/>
    <w:rsid w:val="0015087C"/>
    <w:rsid w:val="001509D5"/>
    <w:rsid w:val="00150D2F"/>
    <w:rsid w:val="0015155A"/>
    <w:rsid w:val="0015158D"/>
    <w:rsid w:val="0015166A"/>
    <w:rsid w:val="00151B10"/>
    <w:rsid w:val="00151D7B"/>
    <w:rsid w:val="00151E2D"/>
    <w:rsid w:val="001525F1"/>
    <w:rsid w:val="00152B3B"/>
    <w:rsid w:val="00152BD8"/>
    <w:rsid w:val="001531AF"/>
    <w:rsid w:val="00153327"/>
    <w:rsid w:val="00153419"/>
    <w:rsid w:val="001536B8"/>
    <w:rsid w:val="00154278"/>
    <w:rsid w:val="00154EA8"/>
    <w:rsid w:val="0015543E"/>
    <w:rsid w:val="0015559B"/>
    <w:rsid w:val="00155824"/>
    <w:rsid w:val="00155881"/>
    <w:rsid w:val="00155DDB"/>
    <w:rsid w:val="0015641E"/>
    <w:rsid w:val="0015667C"/>
    <w:rsid w:val="001567B0"/>
    <w:rsid w:val="00157526"/>
    <w:rsid w:val="001575E9"/>
    <w:rsid w:val="00157813"/>
    <w:rsid w:val="00157F2D"/>
    <w:rsid w:val="00160006"/>
    <w:rsid w:val="001602CE"/>
    <w:rsid w:val="00160C1E"/>
    <w:rsid w:val="00161534"/>
    <w:rsid w:val="00161940"/>
    <w:rsid w:val="00161AE3"/>
    <w:rsid w:val="00162764"/>
    <w:rsid w:val="00162903"/>
    <w:rsid w:val="00162E42"/>
    <w:rsid w:val="00163649"/>
    <w:rsid w:val="001636B7"/>
    <w:rsid w:val="00163ADC"/>
    <w:rsid w:val="00163E3E"/>
    <w:rsid w:val="00163F0A"/>
    <w:rsid w:val="00164319"/>
    <w:rsid w:val="0016439D"/>
    <w:rsid w:val="00164561"/>
    <w:rsid w:val="0016488C"/>
    <w:rsid w:val="0016498E"/>
    <w:rsid w:val="00164A8A"/>
    <w:rsid w:val="00164B89"/>
    <w:rsid w:val="0016546F"/>
    <w:rsid w:val="00165933"/>
    <w:rsid w:val="00165B72"/>
    <w:rsid w:val="00166006"/>
    <w:rsid w:val="001661A5"/>
    <w:rsid w:val="001663DF"/>
    <w:rsid w:val="00166D7A"/>
    <w:rsid w:val="00166F43"/>
    <w:rsid w:val="001675DD"/>
    <w:rsid w:val="00167984"/>
    <w:rsid w:val="00167AFA"/>
    <w:rsid w:val="00167ED4"/>
    <w:rsid w:val="0017000D"/>
    <w:rsid w:val="00170D22"/>
    <w:rsid w:val="00170D69"/>
    <w:rsid w:val="0017106E"/>
    <w:rsid w:val="00171224"/>
    <w:rsid w:val="001713C9"/>
    <w:rsid w:val="00171416"/>
    <w:rsid w:val="00171AAF"/>
    <w:rsid w:val="00171BE5"/>
    <w:rsid w:val="001729BF"/>
    <w:rsid w:val="00172EE1"/>
    <w:rsid w:val="00172F51"/>
    <w:rsid w:val="00174288"/>
    <w:rsid w:val="0017450B"/>
    <w:rsid w:val="001747E1"/>
    <w:rsid w:val="0017493D"/>
    <w:rsid w:val="001749B5"/>
    <w:rsid w:val="001749E9"/>
    <w:rsid w:val="00174C96"/>
    <w:rsid w:val="00174E65"/>
    <w:rsid w:val="00175220"/>
    <w:rsid w:val="0017555A"/>
    <w:rsid w:val="00175719"/>
    <w:rsid w:val="00175F09"/>
    <w:rsid w:val="0017616D"/>
    <w:rsid w:val="00176AB1"/>
    <w:rsid w:val="001774E2"/>
    <w:rsid w:val="00177C14"/>
    <w:rsid w:val="00177C2F"/>
    <w:rsid w:val="00177CDB"/>
    <w:rsid w:val="001801D9"/>
    <w:rsid w:val="00180468"/>
    <w:rsid w:val="00180554"/>
    <w:rsid w:val="001806F2"/>
    <w:rsid w:val="00181809"/>
    <w:rsid w:val="00181D99"/>
    <w:rsid w:val="00181DB6"/>
    <w:rsid w:val="00181E44"/>
    <w:rsid w:val="00181E7B"/>
    <w:rsid w:val="00182035"/>
    <w:rsid w:val="00182211"/>
    <w:rsid w:val="001823A3"/>
    <w:rsid w:val="001823EB"/>
    <w:rsid w:val="00182913"/>
    <w:rsid w:val="00182B43"/>
    <w:rsid w:val="00182FB2"/>
    <w:rsid w:val="001833DF"/>
    <w:rsid w:val="001843A6"/>
    <w:rsid w:val="00184D25"/>
    <w:rsid w:val="00184FED"/>
    <w:rsid w:val="001853B7"/>
    <w:rsid w:val="00185845"/>
    <w:rsid w:val="00185945"/>
    <w:rsid w:val="0018596D"/>
    <w:rsid w:val="00185A09"/>
    <w:rsid w:val="001860C5"/>
    <w:rsid w:val="00186423"/>
    <w:rsid w:val="001865E0"/>
    <w:rsid w:val="001866AF"/>
    <w:rsid w:val="00186805"/>
    <w:rsid w:val="00186C10"/>
    <w:rsid w:val="0018705F"/>
    <w:rsid w:val="0018742C"/>
    <w:rsid w:val="00187799"/>
    <w:rsid w:val="001878B7"/>
    <w:rsid w:val="00187EC8"/>
    <w:rsid w:val="00187ECE"/>
    <w:rsid w:val="00190040"/>
    <w:rsid w:val="00190E21"/>
    <w:rsid w:val="00191221"/>
    <w:rsid w:val="00191261"/>
    <w:rsid w:val="00191650"/>
    <w:rsid w:val="001919B9"/>
    <w:rsid w:val="00191CDF"/>
    <w:rsid w:val="00192727"/>
    <w:rsid w:val="0019277F"/>
    <w:rsid w:val="001929DC"/>
    <w:rsid w:val="00192FBB"/>
    <w:rsid w:val="001931C3"/>
    <w:rsid w:val="00193484"/>
    <w:rsid w:val="00193D0D"/>
    <w:rsid w:val="00193E5E"/>
    <w:rsid w:val="0019426A"/>
    <w:rsid w:val="00194280"/>
    <w:rsid w:val="00194731"/>
    <w:rsid w:val="00194A23"/>
    <w:rsid w:val="00194EA0"/>
    <w:rsid w:val="00194F28"/>
    <w:rsid w:val="00194F96"/>
    <w:rsid w:val="001955E8"/>
    <w:rsid w:val="0019568A"/>
    <w:rsid w:val="001956D7"/>
    <w:rsid w:val="00195F27"/>
    <w:rsid w:val="0019659D"/>
    <w:rsid w:val="00196616"/>
    <w:rsid w:val="00196E99"/>
    <w:rsid w:val="00196FBF"/>
    <w:rsid w:val="001973EF"/>
    <w:rsid w:val="00197C46"/>
    <w:rsid w:val="00197DCC"/>
    <w:rsid w:val="001A00BF"/>
    <w:rsid w:val="001A081C"/>
    <w:rsid w:val="001A0B67"/>
    <w:rsid w:val="001A0E3E"/>
    <w:rsid w:val="001A1748"/>
    <w:rsid w:val="001A1BCB"/>
    <w:rsid w:val="001A1F26"/>
    <w:rsid w:val="001A1FB9"/>
    <w:rsid w:val="001A2412"/>
    <w:rsid w:val="001A258C"/>
    <w:rsid w:val="001A25B7"/>
    <w:rsid w:val="001A2C21"/>
    <w:rsid w:val="001A2D0D"/>
    <w:rsid w:val="001A3347"/>
    <w:rsid w:val="001A3793"/>
    <w:rsid w:val="001A3BF1"/>
    <w:rsid w:val="001A3E69"/>
    <w:rsid w:val="001A3E92"/>
    <w:rsid w:val="001A3F2A"/>
    <w:rsid w:val="001A3FE1"/>
    <w:rsid w:val="001A42E3"/>
    <w:rsid w:val="001A4303"/>
    <w:rsid w:val="001A4970"/>
    <w:rsid w:val="001A4C52"/>
    <w:rsid w:val="001A4C80"/>
    <w:rsid w:val="001A5405"/>
    <w:rsid w:val="001A59DE"/>
    <w:rsid w:val="001A5B9E"/>
    <w:rsid w:val="001A5D2B"/>
    <w:rsid w:val="001A5E6D"/>
    <w:rsid w:val="001A5F97"/>
    <w:rsid w:val="001A6117"/>
    <w:rsid w:val="001A61A5"/>
    <w:rsid w:val="001A62A0"/>
    <w:rsid w:val="001A68E8"/>
    <w:rsid w:val="001A6CD6"/>
    <w:rsid w:val="001A7104"/>
    <w:rsid w:val="001A73AB"/>
    <w:rsid w:val="001A7DF7"/>
    <w:rsid w:val="001A7E9A"/>
    <w:rsid w:val="001B04CA"/>
    <w:rsid w:val="001B052E"/>
    <w:rsid w:val="001B066F"/>
    <w:rsid w:val="001B07EA"/>
    <w:rsid w:val="001B0CCF"/>
    <w:rsid w:val="001B0F4D"/>
    <w:rsid w:val="001B1577"/>
    <w:rsid w:val="001B17D4"/>
    <w:rsid w:val="001B1897"/>
    <w:rsid w:val="001B1A10"/>
    <w:rsid w:val="001B1B18"/>
    <w:rsid w:val="001B1E34"/>
    <w:rsid w:val="001B1FF4"/>
    <w:rsid w:val="001B28D4"/>
    <w:rsid w:val="001B3195"/>
    <w:rsid w:val="001B3721"/>
    <w:rsid w:val="001B3B60"/>
    <w:rsid w:val="001B3F50"/>
    <w:rsid w:val="001B4033"/>
    <w:rsid w:val="001B415F"/>
    <w:rsid w:val="001B47F4"/>
    <w:rsid w:val="001B4AAE"/>
    <w:rsid w:val="001B4D81"/>
    <w:rsid w:val="001B536F"/>
    <w:rsid w:val="001B5659"/>
    <w:rsid w:val="001B5F39"/>
    <w:rsid w:val="001B6402"/>
    <w:rsid w:val="001B6617"/>
    <w:rsid w:val="001B6820"/>
    <w:rsid w:val="001B69A9"/>
    <w:rsid w:val="001B7679"/>
    <w:rsid w:val="001B7709"/>
    <w:rsid w:val="001C08A7"/>
    <w:rsid w:val="001C0E8F"/>
    <w:rsid w:val="001C1812"/>
    <w:rsid w:val="001C1912"/>
    <w:rsid w:val="001C1999"/>
    <w:rsid w:val="001C1E19"/>
    <w:rsid w:val="001C268A"/>
    <w:rsid w:val="001C2785"/>
    <w:rsid w:val="001C2A94"/>
    <w:rsid w:val="001C2F11"/>
    <w:rsid w:val="001C3A72"/>
    <w:rsid w:val="001C3DDD"/>
    <w:rsid w:val="001C3FDE"/>
    <w:rsid w:val="001C5565"/>
    <w:rsid w:val="001C5945"/>
    <w:rsid w:val="001C5F6E"/>
    <w:rsid w:val="001C5FBA"/>
    <w:rsid w:val="001C6F68"/>
    <w:rsid w:val="001C72F4"/>
    <w:rsid w:val="001C774C"/>
    <w:rsid w:val="001C7782"/>
    <w:rsid w:val="001C7B8C"/>
    <w:rsid w:val="001D03B0"/>
    <w:rsid w:val="001D111A"/>
    <w:rsid w:val="001D130C"/>
    <w:rsid w:val="001D141E"/>
    <w:rsid w:val="001D1C2A"/>
    <w:rsid w:val="001D1FB7"/>
    <w:rsid w:val="001D23C2"/>
    <w:rsid w:val="001D3974"/>
    <w:rsid w:val="001D3BAE"/>
    <w:rsid w:val="001D3EA0"/>
    <w:rsid w:val="001D3F3E"/>
    <w:rsid w:val="001D43DE"/>
    <w:rsid w:val="001D4796"/>
    <w:rsid w:val="001D4E44"/>
    <w:rsid w:val="001D51DB"/>
    <w:rsid w:val="001D567D"/>
    <w:rsid w:val="001D6EC7"/>
    <w:rsid w:val="001D7251"/>
    <w:rsid w:val="001D7496"/>
    <w:rsid w:val="001D7914"/>
    <w:rsid w:val="001D7B76"/>
    <w:rsid w:val="001D7E5B"/>
    <w:rsid w:val="001D7F3A"/>
    <w:rsid w:val="001D7F51"/>
    <w:rsid w:val="001E013C"/>
    <w:rsid w:val="001E0612"/>
    <w:rsid w:val="001E08DC"/>
    <w:rsid w:val="001E0E82"/>
    <w:rsid w:val="001E10DF"/>
    <w:rsid w:val="001E1350"/>
    <w:rsid w:val="001E13AE"/>
    <w:rsid w:val="001E146C"/>
    <w:rsid w:val="001E158D"/>
    <w:rsid w:val="001E1A8E"/>
    <w:rsid w:val="001E1AAB"/>
    <w:rsid w:val="001E1D9F"/>
    <w:rsid w:val="001E20A1"/>
    <w:rsid w:val="001E249C"/>
    <w:rsid w:val="001E2B69"/>
    <w:rsid w:val="001E2B6C"/>
    <w:rsid w:val="001E2CB1"/>
    <w:rsid w:val="001E349B"/>
    <w:rsid w:val="001E3B16"/>
    <w:rsid w:val="001E4334"/>
    <w:rsid w:val="001E433B"/>
    <w:rsid w:val="001E4553"/>
    <w:rsid w:val="001E48EA"/>
    <w:rsid w:val="001E4B8E"/>
    <w:rsid w:val="001E5304"/>
    <w:rsid w:val="001E53EB"/>
    <w:rsid w:val="001E57CB"/>
    <w:rsid w:val="001E5F77"/>
    <w:rsid w:val="001E6500"/>
    <w:rsid w:val="001E6B35"/>
    <w:rsid w:val="001E6D0C"/>
    <w:rsid w:val="001E7139"/>
    <w:rsid w:val="001E7228"/>
    <w:rsid w:val="001E7660"/>
    <w:rsid w:val="001E7853"/>
    <w:rsid w:val="001E7BB0"/>
    <w:rsid w:val="001E7DA8"/>
    <w:rsid w:val="001E7DA9"/>
    <w:rsid w:val="001E7EDE"/>
    <w:rsid w:val="001F053F"/>
    <w:rsid w:val="001F0942"/>
    <w:rsid w:val="001F0E1C"/>
    <w:rsid w:val="001F0F62"/>
    <w:rsid w:val="001F163B"/>
    <w:rsid w:val="001F18C1"/>
    <w:rsid w:val="001F19E1"/>
    <w:rsid w:val="001F1F07"/>
    <w:rsid w:val="001F1FE1"/>
    <w:rsid w:val="001F22ED"/>
    <w:rsid w:val="001F23AC"/>
    <w:rsid w:val="001F25FA"/>
    <w:rsid w:val="001F2B85"/>
    <w:rsid w:val="001F3276"/>
    <w:rsid w:val="001F34B5"/>
    <w:rsid w:val="001F35DB"/>
    <w:rsid w:val="001F38FF"/>
    <w:rsid w:val="001F4696"/>
    <w:rsid w:val="001F48A0"/>
    <w:rsid w:val="001F4C72"/>
    <w:rsid w:val="001F5041"/>
    <w:rsid w:val="001F5509"/>
    <w:rsid w:val="001F567B"/>
    <w:rsid w:val="001F5A21"/>
    <w:rsid w:val="001F5B9F"/>
    <w:rsid w:val="001F5DCC"/>
    <w:rsid w:val="001F5F93"/>
    <w:rsid w:val="001F5FE0"/>
    <w:rsid w:val="001F6A8E"/>
    <w:rsid w:val="001F6D75"/>
    <w:rsid w:val="001F727D"/>
    <w:rsid w:val="001F7513"/>
    <w:rsid w:val="001F7796"/>
    <w:rsid w:val="001F77B0"/>
    <w:rsid w:val="001F7ABB"/>
    <w:rsid w:val="001F7FD3"/>
    <w:rsid w:val="00200439"/>
    <w:rsid w:val="0020057F"/>
    <w:rsid w:val="00200A86"/>
    <w:rsid w:val="00200B55"/>
    <w:rsid w:val="0020105D"/>
    <w:rsid w:val="0020108E"/>
    <w:rsid w:val="00201B62"/>
    <w:rsid w:val="00201DF4"/>
    <w:rsid w:val="00201FD8"/>
    <w:rsid w:val="00202028"/>
    <w:rsid w:val="00202496"/>
    <w:rsid w:val="002026F8"/>
    <w:rsid w:val="0020283B"/>
    <w:rsid w:val="00202C6D"/>
    <w:rsid w:val="00202EDF"/>
    <w:rsid w:val="00202F47"/>
    <w:rsid w:val="002030DE"/>
    <w:rsid w:val="00203A19"/>
    <w:rsid w:val="00203AFF"/>
    <w:rsid w:val="00203D10"/>
    <w:rsid w:val="00203D96"/>
    <w:rsid w:val="002042EC"/>
    <w:rsid w:val="00204431"/>
    <w:rsid w:val="00204550"/>
    <w:rsid w:val="00204AE0"/>
    <w:rsid w:val="00204B65"/>
    <w:rsid w:val="00204D6E"/>
    <w:rsid w:val="00204FD5"/>
    <w:rsid w:val="002054CD"/>
    <w:rsid w:val="0020596C"/>
    <w:rsid w:val="00205C30"/>
    <w:rsid w:val="00206690"/>
    <w:rsid w:val="00206746"/>
    <w:rsid w:val="00207716"/>
    <w:rsid w:val="00207846"/>
    <w:rsid w:val="002078DC"/>
    <w:rsid w:val="00207BD1"/>
    <w:rsid w:val="00210394"/>
    <w:rsid w:val="002105E5"/>
    <w:rsid w:val="002109C7"/>
    <w:rsid w:val="002109CB"/>
    <w:rsid w:val="00210A3F"/>
    <w:rsid w:val="00210A9F"/>
    <w:rsid w:val="00210B32"/>
    <w:rsid w:val="00210F4F"/>
    <w:rsid w:val="00210FCF"/>
    <w:rsid w:val="002114E1"/>
    <w:rsid w:val="002117AC"/>
    <w:rsid w:val="00211E5E"/>
    <w:rsid w:val="00211FDB"/>
    <w:rsid w:val="00212263"/>
    <w:rsid w:val="00212354"/>
    <w:rsid w:val="00212642"/>
    <w:rsid w:val="00212684"/>
    <w:rsid w:val="00212D4D"/>
    <w:rsid w:val="00212ECB"/>
    <w:rsid w:val="002130D5"/>
    <w:rsid w:val="00213214"/>
    <w:rsid w:val="00213345"/>
    <w:rsid w:val="00213496"/>
    <w:rsid w:val="00213B71"/>
    <w:rsid w:val="00213FB8"/>
    <w:rsid w:val="00214ADE"/>
    <w:rsid w:val="00215596"/>
    <w:rsid w:val="00215665"/>
    <w:rsid w:val="00215C1E"/>
    <w:rsid w:val="00215EA7"/>
    <w:rsid w:val="00216739"/>
    <w:rsid w:val="002167DF"/>
    <w:rsid w:val="002169DE"/>
    <w:rsid w:val="002170EF"/>
    <w:rsid w:val="00217102"/>
    <w:rsid w:val="00217109"/>
    <w:rsid w:val="002176D4"/>
    <w:rsid w:val="0021783B"/>
    <w:rsid w:val="002178EA"/>
    <w:rsid w:val="00217939"/>
    <w:rsid w:val="002179C6"/>
    <w:rsid w:val="00220279"/>
    <w:rsid w:val="002208ED"/>
    <w:rsid w:val="00220D08"/>
    <w:rsid w:val="0022118A"/>
    <w:rsid w:val="002212AA"/>
    <w:rsid w:val="00221693"/>
    <w:rsid w:val="00221F90"/>
    <w:rsid w:val="00222A66"/>
    <w:rsid w:val="00222F21"/>
    <w:rsid w:val="002238E9"/>
    <w:rsid w:val="002238FB"/>
    <w:rsid w:val="00223B83"/>
    <w:rsid w:val="002241D3"/>
    <w:rsid w:val="00224402"/>
    <w:rsid w:val="00224496"/>
    <w:rsid w:val="00224EAF"/>
    <w:rsid w:val="0022589D"/>
    <w:rsid w:val="00225BC2"/>
    <w:rsid w:val="00225D7A"/>
    <w:rsid w:val="0022604E"/>
    <w:rsid w:val="00226BC3"/>
    <w:rsid w:val="002273E2"/>
    <w:rsid w:val="002275A8"/>
    <w:rsid w:val="00227B4C"/>
    <w:rsid w:val="002303DD"/>
    <w:rsid w:val="0023049B"/>
    <w:rsid w:val="0023052F"/>
    <w:rsid w:val="00230D97"/>
    <w:rsid w:val="002310AA"/>
    <w:rsid w:val="002312B7"/>
    <w:rsid w:val="002314BA"/>
    <w:rsid w:val="00231698"/>
    <w:rsid w:val="002317CA"/>
    <w:rsid w:val="00231A85"/>
    <w:rsid w:val="00231E99"/>
    <w:rsid w:val="002321D5"/>
    <w:rsid w:val="002324F6"/>
    <w:rsid w:val="00232775"/>
    <w:rsid w:val="00233049"/>
    <w:rsid w:val="0023311D"/>
    <w:rsid w:val="002333D0"/>
    <w:rsid w:val="00233460"/>
    <w:rsid w:val="00233523"/>
    <w:rsid w:val="002335F3"/>
    <w:rsid w:val="00233603"/>
    <w:rsid w:val="00233B7E"/>
    <w:rsid w:val="00233CAE"/>
    <w:rsid w:val="00233F60"/>
    <w:rsid w:val="00233F75"/>
    <w:rsid w:val="002343F9"/>
    <w:rsid w:val="0023448B"/>
    <w:rsid w:val="002349FF"/>
    <w:rsid w:val="00234A7E"/>
    <w:rsid w:val="002358AD"/>
    <w:rsid w:val="00235A75"/>
    <w:rsid w:val="00236AF6"/>
    <w:rsid w:val="00236C65"/>
    <w:rsid w:val="00236D8C"/>
    <w:rsid w:val="00237074"/>
    <w:rsid w:val="002372BE"/>
    <w:rsid w:val="00237D40"/>
    <w:rsid w:val="00237DC3"/>
    <w:rsid w:val="002400D6"/>
    <w:rsid w:val="00241308"/>
    <w:rsid w:val="00241399"/>
    <w:rsid w:val="00241503"/>
    <w:rsid w:val="0024190A"/>
    <w:rsid w:val="0024191A"/>
    <w:rsid w:val="0024195B"/>
    <w:rsid w:val="002424E5"/>
    <w:rsid w:val="00242586"/>
    <w:rsid w:val="002430F7"/>
    <w:rsid w:val="0024327A"/>
    <w:rsid w:val="00243E20"/>
    <w:rsid w:val="00244259"/>
    <w:rsid w:val="00244A57"/>
    <w:rsid w:val="00244B94"/>
    <w:rsid w:val="00244C32"/>
    <w:rsid w:val="002456B8"/>
    <w:rsid w:val="00245760"/>
    <w:rsid w:val="00245928"/>
    <w:rsid w:val="0024595B"/>
    <w:rsid w:val="00245C70"/>
    <w:rsid w:val="00245CDF"/>
    <w:rsid w:val="00245E47"/>
    <w:rsid w:val="00245F2E"/>
    <w:rsid w:val="002460FA"/>
    <w:rsid w:val="0024610A"/>
    <w:rsid w:val="00246410"/>
    <w:rsid w:val="00246646"/>
    <w:rsid w:val="002466E0"/>
    <w:rsid w:val="00246B1F"/>
    <w:rsid w:val="00246F53"/>
    <w:rsid w:val="0024753D"/>
    <w:rsid w:val="00247E4E"/>
    <w:rsid w:val="00247ED0"/>
    <w:rsid w:val="002502DD"/>
    <w:rsid w:val="00250849"/>
    <w:rsid w:val="00250A35"/>
    <w:rsid w:val="00250A45"/>
    <w:rsid w:val="00250F9D"/>
    <w:rsid w:val="002515BF"/>
    <w:rsid w:val="00251658"/>
    <w:rsid w:val="002517C6"/>
    <w:rsid w:val="002518ED"/>
    <w:rsid w:val="00251B9C"/>
    <w:rsid w:val="00251C17"/>
    <w:rsid w:val="00251EC4"/>
    <w:rsid w:val="00252111"/>
    <w:rsid w:val="002525C0"/>
    <w:rsid w:val="00252A3F"/>
    <w:rsid w:val="00252B70"/>
    <w:rsid w:val="00252C1D"/>
    <w:rsid w:val="00252DD5"/>
    <w:rsid w:val="00252ED4"/>
    <w:rsid w:val="002530CE"/>
    <w:rsid w:val="0025314F"/>
    <w:rsid w:val="00253388"/>
    <w:rsid w:val="00253605"/>
    <w:rsid w:val="002536FA"/>
    <w:rsid w:val="002538D1"/>
    <w:rsid w:val="00253A9F"/>
    <w:rsid w:val="00253B49"/>
    <w:rsid w:val="00253C28"/>
    <w:rsid w:val="00253CD9"/>
    <w:rsid w:val="00253F00"/>
    <w:rsid w:val="0025402E"/>
    <w:rsid w:val="00254222"/>
    <w:rsid w:val="00254472"/>
    <w:rsid w:val="0025456F"/>
    <w:rsid w:val="0025477B"/>
    <w:rsid w:val="00254E3D"/>
    <w:rsid w:val="00254F02"/>
    <w:rsid w:val="0025556C"/>
    <w:rsid w:val="00255CBF"/>
    <w:rsid w:val="00256493"/>
    <w:rsid w:val="00256A86"/>
    <w:rsid w:val="00256CC1"/>
    <w:rsid w:val="002570CD"/>
    <w:rsid w:val="002571A1"/>
    <w:rsid w:val="0025767E"/>
    <w:rsid w:val="00260067"/>
    <w:rsid w:val="002602A4"/>
    <w:rsid w:val="0026052A"/>
    <w:rsid w:val="002605BE"/>
    <w:rsid w:val="0026062A"/>
    <w:rsid w:val="0026084F"/>
    <w:rsid w:val="0026088B"/>
    <w:rsid w:val="00260920"/>
    <w:rsid w:val="00260A0D"/>
    <w:rsid w:val="00260CC2"/>
    <w:rsid w:val="00260FB5"/>
    <w:rsid w:val="0026174D"/>
    <w:rsid w:val="002620E4"/>
    <w:rsid w:val="002622D3"/>
    <w:rsid w:val="0026286C"/>
    <w:rsid w:val="002628A2"/>
    <w:rsid w:val="002629D9"/>
    <w:rsid w:val="00262DBB"/>
    <w:rsid w:val="00262E7C"/>
    <w:rsid w:val="00262F49"/>
    <w:rsid w:val="0026300F"/>
    <w:rsid w:val="0026301D"/>
    <w:rsid w:val="002631A7"/>
    <w:rsid w:val="00263690"/>
    <w:rsid w:val="0026385F"/>
    <w:rsid w:val="002640F7"/>
    <w:rsid w:val="002647E1"/>
    <w:rsid w:val="00264A99"/>
    <w:rsid w:val="002656B1"/>
    <w:rsid w:val="0026586A"/>
    <w:rsid w:val="002658DC"/>
    <w:rsid w:val="0026593B"/>
    <w:rsid w:val="00265B34"/>
    <w:rsid w:val="00265C09"/>
    <w:rsid w:val="002660D1"/>
    <w:rsid w:val="002663C2"/>
    <w:rsid w:val="002665B0"/>
    <w:rsid w:val="00266955"/>
    <w:rsid w:val="00266BAE"/>
    <w:rsid w:val="00266C63"/>
    <w:rsid w:val="00266E9E"/>
    <w:rsid w:val="00267416"/>
    <w:rsid w:val="00267924"/>
    <w:rsid w:val="00267AD6"/>
    <w:rsid w:val="00270236"/>
    <w:rsid w:val="00270354"/>
    <w:rsid w:val="0027049F"/>
    <w:rsid w:val="00270CBA"/>
    <w:rsid w:val="00270F7E"/>
    <w:rsid w:val="00271944"/>
    <w:rsid w:val="0027199B"/>
    <w:rsid w:val="00271A26"/>
    <w:rsid w:val="00271B01"/>
    <w:rsid w:val="002724CF"/>
    <w:rsid w:val="002725E5"/>
    <w:rsid w:val="00272CD3"/>
    <w:rsid w:val="00272F5D"/>
    <w:rsid w:val="002733AD"/>
    <w:rsid w:val="002737AB"/>
    <w:rsid w:val="00273F4F"/>
    <w:rsid w:val="0027406B"/>
    <w:rsid w:val="00274185"/>
    <w:rsid w:val="00274201"/>
    <w:rsid w:val="00274833"/>
    <w:rsid w:val="00274BA8"/>
    <w:rsid w:val="00274BD0"/>
    <w:rsid w:val="00274E59"/>
    <w:rsid w:val="002750CA"/>
    <w:rsid w:val="002757C8"/>
    <w:rsid w:val="00276059"/>
    <w:rsid w:val="00276450"/>
    <w:rsid w:val="00276EBA"/>
    <w:rsid w:val="00276F00"/>
    <w:rsid w:val="00277163"/>
    <w:rsid w:val="002775CC"/>
    <w:rsid w:val="0027796B"/>
    <w:rsid w:val="00280860"/>
    <w:rsid w:val="00280A64"/>
    <w:rsid w:val="00281109"/>
    <w:rsid w:val="00281626"/>
    <w:rsid w:val="00281A9D"/>
    <w:rsid w:val="0028250D"/>
    <w:rsid w:val="00282C98"/>
    <w:rsid w:val="0028353A"/>
    <w:rsid w:val="00283A10"/>
    <w:rsid w:val="00283EDD"/>
    <w:rsid w:val="00284306"/>
    <w:rsid w:val="0028448F"/>
    <w:rsid w:val="00284688"/>
    <w:rsid w:val="00285296"/>
    <w:rsid w:val="002854A9"/>
    <w:rsid w:val="00285D0E"/>
    <w:rsid w:val="00286025"/>
    <w:rsid w:val="002861E7"/>
    <w:rsid w:val="00286322"/>
    <w:rsid w:val="00286500"/>
    <w:rsid w:val="00286F98"/>
    <w:rsid w:val="00287238"/>
    <w:rsid w:val="00287680"/>
    <w:rsid w:val="002876C9"/>
    <w:rsid w:val="00287B19"/>
    <w:rsid w:val="00287E64"/>
    <w:rsid w:val="0029040A"/>
    <w:rsid w:val="002908B6"/>
    <w:rsid w:val="00290F38"/>
    <w:rsid w:val="00290FD0"/>
    <w:rsid w:val="0029126A"/>
    <w:rsid w:val="00291392"/>
    <w:rsid w:val="002913AA"/>
    <w:rsid w:val="0029181A"/>
    <w:rsid w:val="00291CC0"/>
    <w:rsid w:val="00291F78"/>
    <w:rsid w:val="00292A3A"/>
    <w:rsid w:val="00292AF5"/>
    <w:rsid w:val="00292B89"/>
    <w:rsid w:val="00292D75"/>
    <w:rsid w:val="0029359A"/>
    <w:rsid w:val="00293E6A"/>
    <w:rsid w:val="00294253"/>
    <w:rsid w:val="00294475"/>
    <w:rsid w:val="002954AD"/>
    <w:rsid w:val="00295E17"/>
    <w:rsid w:val="00295E2A"/>
    <w:rsid w:val="002962E8"/>
    <w:rsid w:val="00296358"/>
    <w:rsid w:val="002965D7"/>
    <w:rsid w:val="00296749"/>
    <w:rsid w:val="00296A08"/>
    <w:rsid w:val="00296BA1"/>
    <w:rsid w:val="00296C65"/>
    <w:rsid w:val="00296FBA"/>
    <w:rsid w:val="002973FB"/>
    <w:rsid w:val="00297769"/>
    <w:rsid w:val="00297EB3"/>
    <w:rsid w:val="002A0299"/>
    <w:rsid w:val="002A08D7"/>
    <w:rsid w:val="002A0CF7"/>
    <w:rsid w:val="002A0FDB"/>
    <w:rsid w:val="002A134B"/>
    <w:rsid w:val="002A1352"/>
    <w:rsid w:val="002A1885"/>
    <w:rsid w:val="002A1940"/>
    <w:rsid w:val="002A2A15"/>
    <w:rsid w:val="002A2F15"/>
    <w:rsid w:val="002A3966"/>
    <w:rsid w:val="002A45C0"/>
    <w:rsid w:val="002A486C"/>
    <w:rsid w:val="002A4D6D"/>
    <w:rsid w:val="002A4E36"/>
    <w:rsid w:val="002A50A0"/>
    <w:rsid w:val="002A5483"/>
    <w:rsid w:val="002A5609"/>
    <w:rsid w:val="002A596B"/>
    <w:rsid w:val="002A5F52"/>
    <w:rsid w:val="002A64C5"/>
    <w:rsid w:val="002A655A"/>
    <w:rsid w:val="002A660E"/>
    <w:rsid w:val="002A6835"/>
    <w:rsid w:val="002A68E5"/>
    <w:rsid w:val="002A6AC1"/>
    <w:rsid w:val="002A6BAC"/>
    <w:rsid w:val="002A6E0E"/>
    <w:rsid w:val="002A7203"/>
    <w:rsid w:val="002A7710"/>
    <w:rsid w:val="002A785B"/>
    <w:rsid w:val="002A78E5"/>
    <w:rsid w:val="002A7CC5"/>
    <w:rsid w:val="002A7D3D"/>
    <w:rsid w:val="002B0472"/>
    <w:rsid w:val="002B087C"/>
    <w:rsid w:val="002B0CFC"/>
    <w:rsid w:val="002B1216"/>
    <w:rsid w:val="002B142F"/>
    <w:rsid w:val="002B1718"/>
    <w:rsid w:val="002B19A8"/>
    <w:rsid w:val="002B1A58"/>
    <w:rsid w:val="002B2518"/>
    <w:rsid w:val="002B2616"/>
    <w:rsid w:val="002B299A"/>
    <w:rsid w:val="002B2AC1"/>
    <w:rsid w:val="002B30C7"/>
    <w:rsid w:val="002B36F9"/>
    <w:rsid w:val="002B37C5"/>
    <w:rsid w:val="002B37E0"/>
    <w:rsid w:val="002B39A6"/>
    <w:rsid w:val="002B4294"/>
    <w:rsid w:val="002B43FF"/>
    <w:rsid w:val="002B46BC"/>
    <w:rsid w:val="002B487A"/>
    <w:rsid w:val="002B4AED"/>
    <w:rsid w:val="002B57E1"/>
    <w:rsid w:val="002B599D"/>
    <w:rsid w:val="002B5B93"/>
    <w:rsid w:val="002B5FB4"/>
    <w:rsid w:val="002B647F"/>
    <w:rsid w:val="002B659F"/>
    <w:rsid w:val="002B6EAF"/>
    <w:rsid w:val="002B6FD5"/>
    <w:rsid w:val="002B71D6"/>
    <w:rsid w:val="002B7D85"/>
    <w:rsid w:val="002C0002"/>
    <w:rsid w:val="002C0006"/>
    <w:rsid w:val="002C0057"/>
    <w:rsid w:val="002C01B2"/>
    <w:rsid w:val="002C0390"/>
    <w:rsid w:val="002C0C72"/>
    <w:rsid w:val="002C1139"/>
    <w:rsid w:val="002C135F"/>
    <w:rsid w:val="002C22B8"/>
    <w:rsid w:val="002C2496"/>
    <w:rsid w:val="002C28B3"/>
    <w:rsid w:val="002C2929"/>
    <w:rsid w:val="002C2965"/>
    <w:rsid w:val="002C34DA"/>
    <w:rsid w:val="002C37BA"/>
    <w:rsid w:val="002C39A8"/>
    <w:rsid w:val="002C3B93"/>
    <w:rsid w:val="002C3D8F"/>
    <w:rsid w:val="002C450C"/>
    <w:rsid w:val="002C5712"/>
    <w:rsid w:val="002C62B1"/>
    <w:rsid w:val="002C63CF"/>
    <w:rsid w:val="002C6761"/>
    <w:rsid w:val="002C68C5"/>
    <w:rsid w:val="002C6E47"/>
    <w:rsid w:val="002C6FE1"/>
    <w:rsid w:val="002C73C5"/>
    <w:rsid w:val="002C74D0"/>
    <w:rsid w:val="002C764B"/>
    <w:rsid w:val="002C7D54"/>
    <w:rsid w:val="002C7ECB"/>
    <w:rsid w:val="002D02C9"/>
    <w:rsid w:val="002D044F"/>
    <w:rsid w:val="002D0F5C"/>
    <w:rsid w:val="002D0FF6"/>
    <w:rsid w:val="002D142A"/>
    <w:rsid w:val="002D1A46"/>
    <w:rsid w:val="002D2075"/>
    <w:rsid w:val="002D2668"/>
    <w:rsid w:val="002D2872"/>
    <w:rsid w:val="002D2C1F"/>
    <w:rsid w:val="002D2EF0"/>
    <w:rsid w:val="002D374A"/>
    <w:rsid w:val="002D43C2"/>
    <w:rsid w:val="002D47DC"/>
    <w:rsid w:val="002D4C26"/>
    <w:rsid w:val="002D4E5C"/>
    <w:rsid w:val="002D507D"/>
    <w:rsid w:val="002D545C"/>
    <w:rsid w:val="002D58BA"/>
    <w:rsid w:val="002D614E"/>
    <w:rsid w:val="002D62D8"/>
    <w:rsid w:val="002D64E8"/>
    <w:rsid w:val="002D692F"/>
    <w:rsid w:val="002D732B"/>
    <w:rsid w:val="002D77D5"/>
    <w:rsid w:val="002D7E1B"/>
    <w:rsid w:val="002D7F7F"/>
    <w:rsid w:val="002E0487"/>
    <w:rsid w:val="002E0798"/>
    <w:rsid w:val="002E0C21"/>
    <w:rsid w:val="002E0FAE"/>
    <w:rsid w:val="002E12AB"/>
    <w:rsid w:val="002E1491"/>
    <w:rsid w:val="002E1C2C"/>
    <w:rsid w:val="002E1CD5"/>
    <w:rsid w:val="002E22BE"/>
    <w:rsid w:val="002E3617"/>
    <w:rsid w:val="002E3D87"/>
    <w:rsid w:val="002E3E7D"/>
    <w:rsid w:val="002E445C"/>
    <w:rsid w:val="002E45B6"/>
    <w:rsid w:val="002E485F"/>
    <w:rsid w:val="002E4FC8"/>
    <w:rsid w:val="002E503F"/>
    <w:rsid w:val="002E54EF"/>
    <w:rsid w:val="002E55FE"/>
    <w:rsid w:val="002E57E3"/>
    <w:rsid w:val="002E58F9"/>
    <w:rsid w:val="002E5CC8"/>
    <w:rsid w:val="002E6609"/>
    <w:rsid w:val="002E67C9"/>
    <w:rsid w:val="002E68E3"/>
    <w:rsid w:val="002E6C3E"/>
    <w:rsid w:val="002E704A"/>
    <w:rsid w:val="002E710A"/>
    <w:rsid w:val="002E713F"/>
    <w:rsid w:val="002E7F9D"/>
    <w:rsid w:val="002F0109"/>
    <w:rsid w:val="002F0252"/>
    <w:rsid w:val="002F02E8"/>
    <w:rsid w:val="002F0584"/>
    <w:rsid w:val="002F0BDB"/>
    <w:rsid w:val="002F0C1D"/>
    <w:rsid w:val="002F1772"/>
    <w:rsid w:val="002F1E06"/>
    <w:rsid w:val="002F1FE1"/>
    <w:rsid w:val="002F2166"/>
    <w:rsid w:val="002F24E7"/>
    <w:rsid w:val="002F285A"/>
    <w:rsid w:val="002F34BC"/>
    <w:rsid w:val="002F35C4"/>
    <w:rsid w:val="002F39C5"/>
    <w:rsid w:val="002F3A90"/>
    <w:rsid w:val="002F3D49"/>
    <w:rsid w:val="002F4073"/>
    <w:rsid w:val="002F407C"/>
    <w:rsid w:val="002F42D0"/>
    <w:rsid w:val="002F444A"/>
    <w:rsid w:val="002F4B21"/>
    <w:rsid w:val="002F4B43"/>
    <w:rsid w:val="002F4B47"/>
    <w:rsid w:val="002F4C20"/>
    <w:rsid w:val="002F4CF2"/>
    <w:rsid w:val="002F5354"/>
    <w:rsid w:val="002F540B"/>
    <w:rsid w:val="002F56D5"/>
    <w:rsid w:val="002F5825"/>
    <w:rsid w:val="002F59A3"/>
    <w:rsid w:val="002F5DCD"/>
    <w:rsid w:val="002F6B26"/>
    <w:rsid w:val="002F7095"/>
    <w:rsid w:val="002F769B"/>
    <w:rsid w:val="002F79BB"/>
    <w:rsid w:val="002F7EE0"/>
    <w:rsid w:val="002F7F20"/>
    <w:rsid w:val="00300FE6"/>
    <w:rsid w:val="00301376"/>
    <w:rsid w:val="00301D9C"/>
    <w:rsid w:val="0030226D"/>
    <w:rsid w:val="003023ED"/>
    <w:rsid w:val="003024FE"/>
    <w:rsid w:val="00302618"/>
    <w:rsid w:val="00302720"/>
    <w:rsid w:val="00302B8F"/>
    <w:rsid w:val="00302BF9"/>
    <w:rsid w:val="00302FAC"/>
    <w:rsid w:val="003032F3"/>
    <w:rsid w:val="003033BE"/>
    <w:rsid w:val="00304378"/>
    <w:rsid w:val="003052D7"/>
    <w:rsid w:val="00305953"/>
    <w:rsid w:val="003059DF"/>
    <w:rsid w:val="00306246"/>
    <w:rsid w:val="003068CD"/>
    <w:rsid w:val="003078F6"/>
    <w:rsid w:val="00307A39"/>
    <w:rsid w:val="00307B73"/>
    <w:rsid w:val="00307E11"/>
    <w:rsid w:val="00310320"/>
    <w:rsid w:val="00310589"/>
    <w:rsid w:val="003106DC"/>
    <w:rsid w:val="003108C2"/>
    <w:rsid w:val="0031093E"/>
    <w:rsid w:val="00310CA1"/>
    <w:rsid w:val="00310CE6"/>
    <w:rsid w:val="0031123B"/>
    <w:rsid w:val="00311286"/>
    <w:rsid w:val="003114EC"/>
    <w:rsid w:val="00311A2C"/>
    <w:rsid w:val="00311CDB"/>
    <w:rsid w:val="00311F8B"/>
    <w:rsid w:val="00313495"/>
    <w:rsid w:val="0031371A"/>
    <w:rsid w:val="00313A2F"/>
    <w:rsid w:val="00313A89"/>
    <w:rsid w:val="003141F5"/>
    <w:rsid w:val="00314A15"/>
    <w:rsid w:val="00314E5A"/>
    <w:rsid w:val="003151DF"/>
    <w:rsid w:val="0031537B"/>
    <w:rsid w:val="0031549D"/>
    <w:rsid w:val="00316111"/>
    <w:rsid w:val="00316176"/>
    <w:rsid w:val="00316274"/>
    <w:rsid w:val="0031659F"/>
    <w:rsid w:val="00316645"/>
    <w:rsid w:val="00316ED4"/>
    <w:rsid w:val="003174C7"/>
    <w:rsid w:val="0031776F"/>
    <w:rsid w:val="00317D8B"/>
    <w:rsid w:val="003200CF"/>
    <w:rsid w:val="0032016D"/>
    <w:rsid w:val="00320CC3"/>
    <w:rsid w:val="003210E1"/>
    <w:rsid w:val="00321379"/>
    <w:rsid w:val="00321766"/>
    <w:rsid w:val="00321FC5"/>
    <w:rsid w:val="003225F9"/>
    <w:rsid w:val="00322698"/>
    <w:rsid w:val="00322807"/>
    <w:rsid w:val="00323797"/>
    <w:rsid w:val="003238B6"/>
    <w:rsid w:val="0032392E"/>
    <w:rsid w:val="00323A6E"/>
    <w:rsid w:val="00323E30"/>
    <w:rsid w:val="00324643"/>
    <w:rsid w:val="00324DDD"/>
    <w:rsid w:val="00325097"/>
    <w:rsid w:val="003255DC"/>
    <w:rsid w:val="0032587D"/>
    <w:rsid w:val="00326448"/>
    <w:rsid w:val="003265B3"/>
    <w:rsid w:val="00326A4D"/>
    <w:rsid w:val="00326BDD"/>
    <w:rsid w:val="0032701E"/>
    <w:rsid w:val="0032709D"/>
    <w:rsid w:val="003272C8"/>
    <w:rsid w:val="0032784F"/>
    <w:rsid w:val="00327F28"/>
    <w:rsid w:val="00327F50"/>
    <w:rsid w:val="00327FEB"/>
    <w:rsid w:val="0033005A"/>
    <w:rsid w:val="00330113"/>
    <w:rsid w:val="00330130"/>
    <w:rsid w:val="00330264"/>
    <w:rsid w:val="0033039F"/>
    <w:rsid w:val="0033090A"/>
    <w:rsid w:val="00330F80"/>
    <w:rsid w:val="003310CB"/>
    <w:rsid w:val="0033127A"/>
    <w:rsid w:val="00331F90"/>
    <w:rsid w:val="0033200E"/>
    <w:rsid w:val="0033282C"/>
    <w:rsid w:val="00332A6B"/>
    <w:rsid w:val="00332B9C"/>
    <w:rsid w:val="00332CEC"/>
    <w:rsid w:val="00333203"/>
    <w:rsid w:val="003336E2"/>
    <w:rsid w:val="00333CB6"/>
    <w:rsid w:val="00333ECD"/>
    <w:rsid w:val="00334210"/>
    <w:rsid w:val="00334642"/>
    <w:rsid w:val="003348BF"/>
    <w:rsid w:val="00334937"/>
    <w:rsid w:val="003349FF"/>
    <w:rsid w:val="00334E55"/>
    <w:rsid w:val="00335741"/>
    <w:rsid w:val="00335857"/>
    <w:rsid w:val="00335AE5"/>
    <w:rsid w:val="00336084"/>
    <w:rsid w:val="00336103"/>
    <w:rsid w:val="0033672B"/>
    <w:rsid w:val="00336755"/>
    <w:rsid w:val="00336864"/>
    <w:rsid w:val="00336989"/>
    <w:rsid w:val="00336F4C"/>
    <w:rsid w:val="0033712B"/>
    <w:rsid w:val="00337737"/>
    <w:rsid w:val="003379A6"/>
    <w:rsid w:val="003404AC"/>
    <w:rsid w:val="0034058B"/>
    <w:rsid w:val="003405CA"/>
    <w:rsid w:val="0034068F"/>
    <w:rsid w:val="00340833"/>
    <w:rsid w:val="00340B7F"/>
    <w:rsid w:val="00341330"/>
    <w:rsid w:val="00342AA1"/>
    <w:rsid w:val="00342D49"/>
    <w:rsid w:val="00344358"/>
    <w:rsid w:val="003446C0"/>
    <w:rsid w:val="003447F0"/>
    <w:rsid w:val="00344A12"/>
    <w:rsid w:val="00344E81"/>
    <w:rsid w:val="0034506F"/>
    <w:rsid w:val="003450B2"/>
    <w:rsid w:val="0034528F"/>
    <w:rsid w:val="0034564C"/>
    <w:rsid w:val="00345895"/>
    <w:rsid w:val="003459C6"/>
    <w:rsid w:val="00345C61"/>
    <w:rsid w:val="00345E9E"/>
    <w:rsid w:val="00346488"/>
    <w:rsid w:val="003465F6"/>
    <w:rsid w:val="00347503"/>
    <w:rsid w:val="00347586"/>
    <w:rsid w:val="00347AD7"/>
    <w:rsid w:val="00347D56"/>
    <w:rsid w:val="00347DC0"/>
    <w:rsid w:val="00347F49"/>
    <w:rsid w:val="00350177"/>
    <w:rsid w:val="00351D7D"/>
    <w:rsid w:val="00352167"/>
    <w:rsid w:val="0035228F"/>
    <w:rsid w:val="003523C2"/>
    <w:rsid w:val="00352702"/>
    <w:rsid w:val="00352785"/>
    <w:rsid w:val="00352C6F"/>
    <w:rsid w:val="0035377F"/>
    <w:rsid w:val="00353CA6"/>
    <w:rsid w:val="00353CC0"/>
    <w:rsid w:val="00353E20"/>
    <w:rsid w:val="003541FA"/>
    <w:rsid w:val="00354239"/>
    <w:rsid w:val="00354AFE"/>
    <w:rsid w:val="00354D19"/>
    <w:rsid w:val="00354F52"/>
    <w:rsid w:val="00354FC2"/>
    <w:rsid w:val="003551A0"/>
    <w:rsid w:val="00355564"/>
    <w:rsid w:val="00355963"/>
    <w:rsid w:val="00355A62"/>
    <w:rsid w:val="00355C09"/>
    <w:rsid w:val="0035623E"/>
    <w:rsid w:val="003562FF"/>
    <w:rsid w:val="00356592"/>
    <w:rsid w:val="00356F1C"/>
    <w:rsid w:val="0035776F"/>
    <w:rsid w:val="003577BD"/>
    <w:rsid w:val="00357A13"/>
    <w:rsid w:val="00357A80"/>
    <w:rsid w:val="00357CFF"/>
    <w:rsid w:val="003605B3"/>
    <w:rsid w:val="003608F1"/>
    <w:rsid w:val="00360B4B"/>
    <w:rsid w:val="00360BB3"/>
    <w:rsid w:val="00360DE9"/>
    <w:rsid w:val="00361847"/>
    <w:rsid w:val="0036238D"/>
    <w:rsid w:val="00362519"/>
    <w:rsid w:val="00362D69"/>
    <w:rsid w:val="00362DB1"/>
    <w:rsid w:val="0036367D"/>
    <w:rsid w:val="003638A5"/>
    <w:rsid w:val="00363ADE"/>
    <w:rsid w:val="00363B61"/>
    <w:rsid w:val="00363D8E"/>
    <w:rsid w:val="00364224"/>
    <w:rsid w:val="00364392"/>
    <w:rsid w:val="00364605"/>
    <w:rsid w:val="00364A9C"/>
    <w:rsid w:val="003651AA"/>
    <w:rsid w:val="00365AFB"/>
    <w:rsid w:val="00365CF1"/>
    <w:rsid w:val="00366179"/>
    <w:rsid w:val="003667D8"/>
    <w:rsid w:val="00366D32"/>
    <w:rsid w:val="0036771C"/>
    <w:rsid w:val="0036776F"/>
    <w:rsid w:val="003704AD"/>
    <w:rsid w:val="00370B29"/>
    <w:rsid w:val="00370EE4"/>
    <w:rsid w:val="003710C1"/>
    <w:rsid w:val="0037116A"/>
    <w:rsid w:val="00371382"/>
    <w:rsid w:val="00371751"/>
    <w:rsid w:val="00371F2A"/>
    <w:rsid w:val="003727C5"/>
    <w:rsid w:val="00372A44"/>
    <w:rsid w:val="00372F14"/>
    <w:rsid w:val="003732D3"/>
    <w:rsid w:val="0037332D"/>
    <w:rsid w:val="0037391A"/>
    <w:rsid w:val="00374067"/>
    <w:rsid w:val="0037419B"/>
    <w:rsid w:val="0037431B"/>
    <w:rsid w:val="003743F2"/>
    <w:rsid w:val="003746F8"/>
    <w:rsid w:val="00374F4D"/>
    <w:rsid w:val="003752C8"/>
    <w:rsid w:val="00375621"/>
    <w:rsid w:val="00375893"/>
    <w:rsid w:val="00375CFC"/>
    <w:rsid w:val="00375D47"/>
    <w:rsid w:val="00375EC0"/>
    <w:rsid w:val="00376080"/>
    <w:rsid w:val="00376120"/>
    <w:rsid w:val="00376572"/>
    <w:rsid w:val="00376659"/>
    <w:rsid w:val="00376A05"/>
    <w:rsid w:val="00376AAB"/>
    <w:rsid w:val="003770D2"/>
    <w:rsid w:val="003772BA"/>
    <w:rsid w:val="003774CA"/>
    <w:rsid w:val="003778E3"/>
    <w:rsid w:val="00377AFB"/>
    <w:rsid w:val="00377AFF"/>
    <w:rsid w:val="00377CA0"/>
    <w:rsid w:val="00377EF4"/>
    <w:rsid w:val="00380020"/>
    <w:rsid w:val="003800A2"/>
    <w:rsid w:val="003808FC"/>
    <w:rsid w:val="00380F10"/>
    <w:rsid w:val="00380FAD"/>
    <w:rsid w:val="00381817"/>
    <w:rsid w:val="003834F6"/>
    <w:rsid w:val="0038382A"/>
    <w:rsid w:val="00383877"/>
    <w:rsid w:val="00383AA3"/>
    <w:rsid w:val="00383AC7"/>
    <w:rsid w:val="00383FC1"/>
    <w:rsid w:val="00384538"/>
    <w:rsid w:val="0038488B"/>
    <w:rsid w:val="00384CA2"/>
    <w:rsid w:val="00384E76"/>
    <w:rsid w:val="00384F8D"/>
    <w:rsid w:val="003851DE"/>
    <w:rsid w:val="0038532F"/>
    <w:rsid w:val="003854E7"/>
    <w:rsid w:val="00385603"/>
    <w:rsid w:val="00385626"/>
    <w:rsid w:val="0038591B"/>
    <w:rsid w:val="00385985"/>
    <w:rsid w:val="00386051"/>
    <w:rsid w:val="00386272"/>
    <w:rsid w:val="003869CE"/>
    <w:rsid w:val="003878A2"/>
    <w:rsid w:val="00387DB7"/>
    <w:rsid w:val="00387FAB"/>
    <w:rsid w:val="00390751"/>
    <w:rsid w:val="00391481"/>
    <w:rsid w:val="003918A7"/>
    <w:rsid w:val="00391E95"/>
    <w:rsid w:val="003922F0"/>
    <w:rsid w:val="00392484"/>
    <w:rsid w:val="0039280F"/>
    <w:rsid w:val="00392C80"/>
    <w:rsid w:val="00393028"/>
    <w:rsid w:val="003930DA"/>
    <w:rsid w:val="00393AF5"/>
    <w:rsid w:val="00393C6E"/>
    <w:rsid w:val="00393F1A"/>
    <w:rsid w:val="00393F90"/>
    <w:rsid w:val="00395280"/>
    <w:rsid w:val="003953B9"/>
    <w:rsid w:val="00395637"/>
    <w:rsid w:val="00395B03"/>
    <w:rsid w:val="00395DB2"/>
    <w:rsid w:val="00395E84"/>
    <w:rsid w:val="00396286"/>
    <w:rsid w:val="003963E8"/>
    <w:rsid w:val="00396951"/>
    <w:rsid w:val="00396F99"/>
    <w:rsid w:val="00396F9A"/>
    <w:rsid w:val="00397117"/>
    <w:rsid w:val="00397B58"/>
    <w:rsid w:val="00397EDF"/>
    <w:rsid w:val="003A049E"/>
    <w:rsid w:val="003A0580"/>
    <w:rsid w:val="003A09D5"/>
    <w:rsid w:val="003A0DB1"/>
    <w:rsid w:val="003A0E75"/>
    <w:rsid w:val="003A13D7"/>
    <w:rsid w:val="003A164C"/>
    <w:rsid w:val="003A1C72"/>
    <w:rsid w:val="003A1D43"/>
    <w:rsid w:val="003A1EA2"/>
    <w:rsid w:val="003A2045"/>
    <w:rsid w:val="003A20E6"/>
    <w:rsid w:val="003A2FF5"/>
    <w:rsid w:val="003A32E2"/>
    <w:rsid w:val="003A3F60"/>
    <w:rsid w:val="003A4096"/>
    <w:rsid w:val="003A4950"/>
    <w:rsid w:val="003A4D4E"/>
    <w:rsid w:val="003A54BA"/>
    <w:rsid w:val="003A5564"/>
    <w:rsid w:val="003A55CE"/>
    <w:rsid w:val="003A5725"/>
    <w:rsid w:val="003A6395"/>
    <w:rsid w:val="003A6A07"/>
    <w:rsid w:val="003A73EB"/>
    <w:rsid w:val="003A781C"/>
    <w:rsid w:val="003A7ABD"/>
    <w:rsid w:val="003A7AC2"/>
    <w:rsid w:val="003B00CB"/>
    <w:rsid w:val="003B00E3"/>
    <w:rsid w:val="003B0137"/>
    <w:rsid w:val="003B0ED8"/>
    <w:rsid w:val="003B16A2"/>
    <w:rsid w:val="003B1925"/>
    <w:rsid w:val="003B1A16"/>
    <w:rsid w:val="003B1B51"/>
    <w:rsid w:val="003B25EB"/>
    <w:rsid w:val="003B2BAD"/>
    <w:rsid w:val="003B2EDA"/>
    <w:rsid w:val="003B2F46"/>
    <w:rsid w:val="003B35D4"/>
    <w:rsid w:val="003B38BE"/>
    <w:rsid w:val="003B3A15"/>
    <w:rsid w:val="003B3D29"/>
    <w:rsid w:val="003B3DA9"/>
    <w:rsid w:val="003B3F02"/>
    <w:rsid w:val="003B427F"/>
    <w:rsid w:val="003B492F"/>
    <w:rsid w:val="003B4994"/>
    <w:rsid w:val="003B4EB0"/>
    <w:rsid w:val="003B554E"/>
    <w:rsid w:val="003B5ABA"/>
    <w:rsid w:val="003B5B2F"/>
    <w:rsid w:val="003B5EB1"/>
    <w:rsid w:val="003B6224"/>
    <w:rsid w:val="003B6604"/>
    <w:rsid w:val="003B6672"/>
    <w:rsid w:val="003B6D83"/>
    <w:rsid w:val="003B6F04"/>
    <w:rsid w:val="003B714B"/>
    <w:rsid w:val="003B720A"/>
    <w:rsid w:val="003B734E"/>
    <w:rsid w:val="003B7711"/>
    <w:rsid w:val="003B7A02"/>
    <w:rsid w:val="003B7A2E"/>
    <w:rsid w:val="003B7AD4"/>
    <w:rsid w:val="003C04D3"/>
    <w:rsid w:val="003C084C"/>
    <w:rsid w:val="003C0B19"/>
    <w:rsid w:val="003C1246"/>
    <w:rsid w:val="003C1416"/>
    <w:rsid w:val="003C1E9D"/>
    <w:rsid w:val="003C2A91"/>
    <w:rsid w:val="003C2C15"/>
    <w:rsid w:val="003C2E74"/>
    <w:rsid w:val="003C2E76"/>
    <w:rsid w:val="003C4596"/>
    <w:rsid w:val="003C4DED"/>
    <w:rsid w:val="003C4E14"/>
    <w:rsid w:val="003C4EEF"/>
    <w:rsid w:val="003C5349"/>
    <w:rsid w:val="003C55A2"/>
    <w:rsid w:val="003C5628"/>
    <w:rsid w:val="003C5809"/>
    <w:rsid w:val="003C5E7D"/>
    <w:rsid w:val="003C6731"/>
    <w:rsid w:val="003C680B"/>
    <w:rsid w:val="003C6A93"/>
    <w:rsid w:val="003C6A9C"/>
    <w:rsid w:val="003C6D1D"/>
    <w:rsid w:val="003C6DA1"/>
    <w:rsid w:val="003C735F"/>
    <w:rsid w:val="003C76D6"/>
    <w:rsid w:val="003C7C4C"/>
    <w:rsid w:val="003C7CD9"/>
    <w:rsid w:val="003D030F"/>
    <w:rsid w:val="003D0324"/>
    <w:rsid w:val="003D08BE"/>
    <w:rsid w:val="003D0949"/>
    <w:rsid w:val="003D0ED5"/>
    <w:rsid w:val="003D0FA7"/>
    <w:rsid w:val="003D1341"/>
    <w:rsid w:val="003D166A"/>
    <w:rsid w:val="003D26B8"/>
    <w:rsid w:val="003D27A5"/>
    <w:rsid w:val="003D29CE"/>
    <w:rsid w:val="003D2ECA"/>
    <w:rsid w:val="003D3305"/>
    <w:rsid w:val="003D33F4"/>
    <w:rsid w:val="003D33FE"/>
    <w:rsid w:val="003D394D"/>
    <w:rsid w:val="003D3993"/>
    <w:rsid w:val="003D3AF0"/>
    <w:rsid w:val="003D3CE7"/>
    <w:rsid w:val="003D3ED6"/>
    <w:rsid w:val="003D42AC"/>
    <w:rsid w:val="003D4584"/>
    <w:rsid w:val="003D4995"/>
    <w:rsid w:val="003D545E"/>
    <w:rsid w:val="003D58B7"/>
    <w:rsid w:val="003D5982"/>
    <w:rsid w:val="003D5BBA"/>
    <w:rsid w:val="003D60D8"/>
    <w:rsid w:val="003D667A"/>
    <w:rsid w:val="003D6707"/>
    <w:rsid w:val="003D70D0"/>
    <w:rsid w:val="003D72EB"/>
    <w:rsid w:val="003D7E85"/>
    <w:rsid w:val="003E0187"/>
    <w:rsid w:val="003E0814"/>
    <w:rsid w:val="003E0A81"/>
    <w:rsid w:val="003E0F45"/>
    <w:rsid w:val="003E1186"/>
    <w:rsid w:val="003E1451"/>
    <w:rsid w:val="003E1A1B"/>
    <w:rsid w:val="003E1C72"/>
    <w:rsid w:val="003E1F16"/>
    <w:rsid w:val="003E2063"/>
    <w:rsid w:val="003E22B2"/>
    <w:rsid w:val="003E25BA"/>
    <w:rsid w:val="003E2AA8"/>
    <w:rsid w:val="003E366A"/>
    <w:rsid w:val="003E3684"/>
    <w:rsid w:val="003E3959"/>
    <w:rsid w:val="003E39E0"/>
    <w:rsid w:val="003E3D38"/>
    <w:rsid w:val="003E3D87"/>
    <w:rsid w:val="003E3E01"/>
    <w:rsid w:val="003E4100"/>
    <w:rsid w:val="003E42DD"/>
    <w:rsid w:val="003E4886"/>
    <w:rsid w:val="003E4A7E"/>
    <w:rsid w:val="003E4FB4"/>
    <w:rsid w:val="003E51D5"/>
    <w:rsid w:val="003E5260"/>
    <w:rsid w:val="003E5997"/>
    <w:rsid w:val="003E61FE"/>
    <w:rsid w:val="003E64E8"/>
    <w:rsid w:val="003E6780"/>
    <w:rsid w:val="003E693E"/>
    <w:rsid w:val="003E6957"/>
    <w:rsid w:val="003E7374"/>
    <w:rsid w:val="003E76C7"/>
    <w:rsid w:val="003E7CF7"/>
    <w:rsid w:val="003E7E12"/>
    <w:rsid w:val="003E7F8D"/>
    <w:rsid w:val="003F0132"/>
    <w:rsid w:val="003F0170"/>
    <w:rsid w:val="003F04FF"/>
    <w:rsid w:val="003F066A"/>
    <w:rsid w:val="003F0DB7"/>
    <w:rsid w:val="003F1295"/>
    <w:rsid w:val="003F1A23"/>
    <w:rsid w:val="003F1EFC"/>
    <w:rsid w:val="003F2138"/>
    <w:rsid w:val="003F2146"/>
    <w:rsid w:val="003F2C8A"/>
    <w:rsid w:val="003F2E2B"/>
    <w:rsid w:val="003F2E60"/>
    <w:rsid w:val="003F371C"/>
    <w:rsid w:val="003F398A"/>
    <w:rsid w:val="003F3C3D"/>
    <w:rsid w:val="003F3E8F"/>
    <w:rsid w:val="003F443D"/>
    <w:rsid w:val="003F44C4"/>
    <w:rsid w:val="003F499B"/>
    <w:rsid w:val="003F4D2A"/>
    <w:rsid w:val="003F531B"/>
    <w:rsid w:val="003F5391"/>
    <w:rsid w:val="003F5458"/>
    <w:rsid w:val="003F5707"/>
    <w:rsid w:val="003F5A8B"/>
    <w:rsid w:val="003F5B59"/>
    <w:rsid w:val="003F5B73"/>
    <w:rsid w:val="003F5BDC"/>
    <w:rsid w:val="003F5E62"/>
    <w:rsid w:val="003F6524"/>
    <w:rsid w:val="003F6579"/>
    <w:rsid w:val="003F65A3"/>
    <w:rsid w:val="003F65E0"/>
    <w:rsid w:val="003F6C6C"/>
    <w:rsid w:val="003F6C7A"/>
    <w:rsid w:val="003F6D0E"/>
    <w:rsid w:val="003F7117"/>
    <w:rsid w:val="003F736A"/>
    <w:rsid w:val="003F7D57"/>
    <w:rsid w:val="003F7EDE"/>
    <w:rsid w:val="004001A0"/>
    <w:rsid w:val="00400238"/>
    <w:rsid w:val="0040055D"/>
    <w:rsid w:val="00400AF1"/>
    <w:rsid w:val="004011CE"/>
    <w:rsid w:val="004014BE"/>
    <w:rsid w:val="0040150C"/>
    <w:rsid w:val="0040239A"/>
    <w:rsid w:val="00402B19"/>
    <w:rsid w:val="00402E88"/>
    <w:rsid w:val="0040330C"/>
    <w:rsid w:val="00403B5D"/>
    <w:rsid w:val="00403BF5"/>
    <w:rsid w:val="00403F2E"/>
    <w:rsid w:val="00404F58"/>
    <w:rsid w:val="0040512A"/>
    <w:rsid w:val="00405633"/>
    <w:rsid w:val="004056B0"/>
    <w:rsid w:val="004057C5"/>
    <w:rsid w:val="00405E01"/>
    <w:rsid w:val="00406086"/>
    <w:rsid w:val="004063BC"/>
    <w:rsid w:val="00406537"/>
    <w:rsid w:val="004065C5"/>
    <w:rsid w:val="0040672F"/>
    <w:rsid w:val="00406B93"/>
    <w:rsid w:val="00406BFA"/>
    <w:rsid w:val="00406F4B"/>
    <w:rsid w:val="00406FDE"/>
    <w:rsid w:val="00407352"/>
    <w:rsid w:val="00407603"/>
    <w:rsid w:val="00407710"/>
    <w:rsid w:val="004078E1"/>
    <w:rsid w:val="0040791F"/>
    <w:rsid w:val="00407D12"/>
    <w:rsid w:val="00407DD5"/>
    <w:rsid w:val="004100FA"/>
    <w:rsid w:val="0041048E"/>
    <w:rsid w:val="00410513"/>
    <w:rsid w:val="00410734"/>
    <w:rsid w:val="004110D0"/>
    <w:rsid w:val="004112EE"/>
    <w:rsid w:val="0041144B"/>
    <w:rsid w:val="004116F9"/>
    <w:rsid w:val="00411C09"/>
    <w:rsid w:val="00411CAE"/>
    <w:rsid w:val="00412057"/>
    <w:rsid w:val="004123D6"/>
    <w:rsid w:val="00412C15"/>
    <w:rsid w:val="00412E0D"/>
    <w:rsid w:val="00412FD0"/>
    <w:rsid w:val="00413119"/>
    <w:rsid w:val="0041343A"/>
    <w:rsid w:val="00413EF5"/>
    <w:rsid w:val="004149DE"/>
    <w:rsid w:val="004150D2"/>
    <w:rsid w:val="00415110"/>
    <w:rsid w:val="00415351"/>
    <w:rsid w:val="0041611A"/>
    <w:rsid w:val="00416991"/>
    <w:rsid w:val="00416B08"/>
    <w:rsid w:val="00416DED"/>
    <w:rsid w:val="00416F71"/>
    <w:rsid w:val="004174CA"/>
    <w:rsid w:val="004177F5"/>
    <w:rsid w:val="004179B3"/>
    <w:rsid w:val="00420092"/>
    <w:rsid w:val="00421098"/>
    <w:rsid w:val="004213B8"/>
    <w:rsid w:val="00421751"/>
    <w:rsid w:val="0042179C"/>
    <w:rsid w:val="00421DD8"/>
    <w:rsid w:val="00422593"/>
    <w:rsid w:val="004227C2"/>
    <w:rsid w:val="00422E4B"/>
    <w:rsid w:val="00422ED3"/>
    <w:rsid w:val="00422F2F"/>
    <w:rsid w:val="00423AD5"/>
    <w:rsid w:val="00423C55"/>
    <w:rsid w:val="00423D0D"/>
    <w:rsid w:val="004245AF"/>
    <w:rsid w:val="004246D8"/>
    <w:rsid w:val="00424AB3"/>
    <w:rsid w:val="00424EB0"/>
    <w:rsid w:val="00425056"/>
    <w:rsid w:val="00425165"/>
    <w:rsid w:val="0042558D"/>
    <w:rsid w:val="004258DE"/>
    <w:rsid w:val="00425A7E"/>
    <w:rsid w:val="00425C20"/>
    <w:rsid w:val="0042602E"/>
    <w:rsid w:val="004261EF"/>
    <w:rsid w:val="004263D8"/>
    <w:rsid w:val="0042644B"/>
    <w:rsid w:val="00426988"/>
    <w:rsid w:val="00426DCD"/>
    <w:rsid w:val="0042767D"/>
    <w:rsid w:val="0043031F"/>
    <w:rsid w:val="0043059A"/>
    <w:rsid w:val="00430B36"/>
    <w:rsid w:val="00431554"/>
    <w:rsid w:val="00431722"/>
    <w:rsid w:val="00431F11"/>
    <w:rsid w:val="00431F82"/>
    <w:rsid w:val="00432C15"/>
    <w:rsid w:val="00432C84"/>
    <w:rsid w:val="00433277"/>
    <w:rsid w:val="004333C1"/>
    <w:rsid w:val="004333E0"/>
    <w:rsid w:val="00433975"/>
    <w:rsid w:val="00433C3B"/>
    <w:rsid w:val="00433F5B"/>
    <w:rsid w:val="0043456F"/>
    <w:rsid w:val="0043468F"/>
    <w:rsid w:val="00434953"/>
    <w:rsid w:val="004351AA"/>
    <w:rsid w:val="004352B6"/>
    <w:rsid w:val="00435405"/>
    <w:rsid w:val="00435629"/>
    <w:rsid w:val="00435921"/>
    <w:rsid w:val="00435C3F"/>
    <w:rsid w:val="00435C92"/>
    <w:rsid w:val="004360BB"/>
    <w:rsid w:val="00436251"/>
    <w:rsid w:val="00436B69"/>
    <w:rsid w:val="00437389"/>
    <w:rsid w:val="00437817"/>
    <w:rsid w:val="00440728"/>
    <w:rsid w:val="00440F5C"/>
    <w:rsid w:val="004412E7"/>
    <w:rsid w:val="0044135E"/>
    <w:rsid w:val="004421B8"/>
    <w:rsid w:val="00442491"/>
    <w:rsid w:val="004426B7"/>
    <w:rsid w:val="0044288E"/>
    <w:rsid w:val="004428E4"/>
    <w:rsid w:val="00442E53"/>
    <w:rsid w:val="00442EC4"/>
    <w:rsid w:val="00443250"/>
    <w:rsid w:val="004433E0"/>
    <w:rsid w:val="00443406"/>
    <w:rsid w:val="00443583"/>
    <w:rsid w:val="004436B8"/>
    <w:rsid w:val="00443A18"/>
    <w:rsid w:val="00443B49"/>
    <w:rsid w:val="00444267"/>
    <w:rsid w:val="004442A9"/>
    <w:rsid w:val="0044455D"/>
    <w:rsid w:val="00444A9A"/>
    <w:rsid w:val="00444D03"/>
    <w:rsid w:val="00444EE7"/>
    <w:rsid w:val="00445C59"/>
    <w:rsid w:val="00446304"/>
    <w:rsid w:val="0044647E"/>
    <w:rsid w:val="00446644"/>
    <w:rsid w:val="00446E2E"/>
    <w:rsid w:val="0044786D"/>
    <w:rsid w:val="00447D1F"/>
    <w:rsid w:val="00447E84"/>
    <w:rsid w:val="004505AE"/>
    <w:rsid w:val="0045096E"/>
    <w:rsid w:val="00450A43"/>
    <w:rsid w:val="00450AEC"/>
    <w:rsid w:val="00450C68"/>
    <w:rsid w:val="00450E79"/>
    <w:rsid w:val="004515F8"/>
    <w:rsid w:val="00451E2A"/>
    <w:rsid w:val="00451E35"/>
    <w:rsid w:val="00452643"/>
    <w:rsid w:val="0045285A"/>
    <w:rsid w:val="004528C2"/>
    <w:rsid w:val="004528CF"/>
    <w:rsid w:val="00452F6B"/>
    <w:rsid w:val="00453A1C"/>
    <w:rsid w:val="00453B2F"/>
    <w:rsid w:val="00453DFD"/>
    <w:rsid w:val="00454249"/>
    <w:rsid w:val="0045439A"/>
    <w:rsid w:val="004556CC"/>
    <w:rsid w:val="00455A12"/>
    <w:rsid w:val="00455B3F"/>
    <w:rsid w:val="0045644E"/>
    <w:rsid w:val="0045674B"/>
    <w:rsid w:val="0045688C"/>
    <w:rsid w:val="00456974"/>
    <w:rsid w:val="00456D09"/>
    <w:rsid w:val="00456EF7"/>
    <w:rsid w:val="0045721B"/>
    <w:rsid w:val="004575C0"/>
    <w:rsid w:val="00457886"/>
    <w:rsid w:val="00457946"/>
    <w:rsid w:val="0046001C"/>
    <w:rsid w:val="0046012A"/>
    <w:rsid w:val="0046061E"/>
    <w:rsid w:val="00460D52"/>
    <w:rsid w:val="0046142D"/>
    <w:rsid w:val="0046173D"/>
    <w:rsid w:val="004618CA"/>
    <w:rsid w:val="004619A7"/>
    <w:rsid w:val="004619E0"/>
    <w:rsid w:val="00461AA8"/>
    <w:rsid w:val="004625AD"/>
    <w:rsid w:val="0046261D"/>
    <w:rsid w:val="0046330A"/>
    <w:rsid w:val="0046365C"/>
    <w:rsid w:val="00464D29"/>
    <w:rsid w:val="004651BF"/>
    <w:rsid w:val="004652EF"/>
    <w:rsid w:val="00465748"/>
    <w:rsid w:val="00465834"/>
    <w:rsid w:val="00465E39"/>
    <w:rsid w:val="004661C4"/>
    <w:rsid w:val="004661DD"/>
    <w:rsid w:val="00466DEB"/>
    <w:rsid w:val="00466E31"/>
    <w:rsid w:val="00467078"/>
    <w:rsid w:val="00467092"/>
    <w:rsid w:val="004670BB"/>
    <w:rsid w:val="0046730B"/>
    <w:rsid w:val="004673A0"/>
    <w:rsid w:val="004676B7"/>
    <w:rsid w:val="00467770"/>
    <w:rsid w:val="00467AD6"/>
    <w:rsid w:val="00467C3F"/>
    <w:rsid w:val="00467D47"/>
    <w:rsid w:val="00467F5C"/>
    <w:rsid w:val="004701DD"/>
    <w:rsid w:val="00470266"/>
    <w:rsid w:val="004708FD"/>
    <w:rsid w:val="0047128D"/>
    <w:rsid w:val="004721D3"/>
    <w:rsid w:val="0047275E"/>
    <w:rsid w:val="004728C2"/>
    <w:rsid w:val="00472EF9"/>
    <w:rsid w:val="004730CD"/>
    <w:rsid w:val="00473382"/>
    <w:rsid w:val="004733AF"/>
    <w:rsid w:val="00473512"/>
    <w:rsid w:val="00473FC3"/>
    <w:rsid w:val="004741C4"/>
    <w:rsid w:val="00474F18"/>
    <w:rsid w:val="00474F57"/>
    <w:rsid w:val="004755A2"/>
    <w:rsid w:val="0047582E"/>
    <w:rsid w:val="00475E0B"/>
    <w:rsid w:val="00476254"/>
    <w:rsid w:val="00476644"/>
    <w:rsid w:val="0047664C"/>
    <w:rsid w:val="0047759F"/>
    <w:rsid w:val="0047770D"/>
    <w:rsid w:val="004777DF"/>
    <w:rsid w:val="00477951"/>
    <w:rsid w:val="00477B8E"/>
    <w:rsid w:val="00477E44"/>
    <w:rsid w:val="004807AE"/>
    <w:rsid w:val="004808F1"/>
    <w:rsid w:val="004809C0"/>
    <w:rsid w:val="00480E47"/>
    <w:rsid w:val="004810DE"/>
    <w:rsid w:val="0048114D"/>
    <w:rsid w:val="00481391"/>
    <w:rsid w:val="0048139B"/>
    <w:rsid w:val="00481533"/>
    <w:rsid w:val="00481835"/>
    <w:rsid w:val="0048194B"/>
    <w:rsid w:val="00482290"/>
    <w:rsid w:val="004823EB"/>
    <w:rsid w:val="004825B0"/>
    <w:rsid w:val="0048260B"/>
    <w:rsid w:val="0048270F"/>
    <w:rsid w:val="004832B1"/>
    <w:rsid w:val="00483AF6"/>
    <w:rsid w:val="00483E57"/>
    <w:rsid w:val="00483F53"/>
    <w:rsid w:val="00484779"/>
    <w:rsid w:val="0048481E"/>
    <w:rsid w:val="00484BE6"/>
    <w:rsid w:val="0048518D"/>
    <w:rsid w:val="00485B4E"/>
    <w:rsid w:val="00485B9F"/>
    <w:rsid w:val="0048634D"/>
    <w:rsid w:val="004868E0"/>
    <w:rsid w:val="00486C93"/>
    <w:rsid w:val="00486F91"/>
    <w:rsid w:val="00487213"/>
    <w:rsid w:val="004875EC"/>
    <w:rsid w:val="00487C1E"/>
    <w:rsid w:val="00487C7C"/>
    <w:rsid w:val="00487FDA"/>
    <w:rsid w:val="0049016C"/>
    <w:rsid w:val="00490755"/>
    <w:rsid w:val="004908B5"/>
    <w:rsid w:val="00490C46"/>
    <w:rsid w:val="00491140"/>
    <w:rsid w:val="00491412"/>
    <w:rsid w:val="00491766"/>
    <w:rsid w:val="004918A9"/>
    <w:rsid w:val="00491DEA"/>
    <w:rsid w:val="00491F72"/>
    <w:rsid w:val="004924C0"/>
    <w:rsid w:val="0049255E"/>
    <w:rsid w:val="00492872"/>
    <w:rsid w:val="00492A37"/>
    <w:rsid w:val="00492D94"/>
    <w:rsid w:val="004935ED"/>
    <w:rsid w:val="00493882"/>
    <w:rsid w:val="004938AD"/>
    <w:rsid w:val="00493B6C"/>
    <w:rsid w:val="00494496"/>
    <w:rsid w:val="0049469F"/>
    <w:rsid w:val="004949D8"/>
    <w:rsid w:val="00494B77"/>
    <w:rsid w:val="00495075"/>
    <w:rsid w:val="004950DF"/>
    <w:rsid w:val="0049589D"/>
    <w:rsid w:val="00495D3D"/>
    <w:rsid w:val="00495D86"/>
    <w:rsid w:val="004960C9"/>
    <w:rsid w:val="00496681"/>
    <w:rsid w:val="004969B7"/>
    <w:rsid w:val="00496C5C"/>
    <w:rsid w:val="00497643"/>
    <w:rsid w:val="004976FF"/>
    <w:rsid w:val="0049795A"/>
    <w:rsid w:val="004A0135"/>
    <w:rsid w:val="004A044F"/>
    <w:rsid w:val="004A0509"/>
    <w:rsid w:val="004A06FC"/>
    <w:rsid w:val="004A12CB"/>
    <w:rsid w:val="004A1AF9"/>
    <w:rsid w:val="004A22FF"/>
    <w:rsid w:val="004A2D95"/>
    <w:rsid w:val="004A2FFA"/>
    <w:rsid w:val="004A3007"/>
    <w:rsid w:val="004A34B5"/>
    <w:rsid w:val="004A35BC"/>
    <w:rsid w:val="004A36CB"/>
    <w:rsid w:val="004A3752"/>
    <w:rsid w:val="004A378A"/>
    <w:rsid w:val="004A386B"/>
    <w:rsid w:val="004A40DA"/>
    <w:rsid w:val="004A46B8"/>
    <w:rsid w:val="004A48FD"/>
    <w:rsid w:val="004A5134"/>
    <w:rsid w:val="004A52D7"/>
    <w:rsid w:val="004A548C"/>
    <w:rsid w:val="004A582E"/>
    <w:rsid w:val="004A59F8"/>
    <w:rsid w:val="004A5C21"/>
    <w:rsid w:val="004A5FA3"/>
    <w:rsid w:val="004A637C"/>
    <w:rsid w:val="004A6380"/>
    <w:rsid w:val="004A65AF"/>
    <w:rsid w:val="004A69A7"/>
    <w:rsid w:val="004A7088"/>
    <w:rsid w:val="004A756E"/>
    <w:rsid w:val="004A7C51"/>
    <w:rsid w:val="004A7FCC"/>
    <w:rsid w:val="004B0079"/>
    <w:rsid w:val="004B081B"/>
    <w:rsid w:val="004B089D"/>
    <w:rsid w:val="004B0A27"/>
    <w:rsid w:val="004B0BC0"/>
    <w:rsid w:val="004B1C50"/>
    <w:rsid w:val="004B1CAA"/>
    <w:rsid w:val="004B1D15"/>
    <w:rsid w:val="004B1DF8"/>
    <w:rsid w:val="004B21D0"/>
    <w:rsid w:val="004B2735"/>
    <w:rsid w:val="004B329C"/>
    <w:rsid w:val="004B3575"/>
    <w:rsid w:val="004B38B3"/>
    <w:rsid w:val="004B430B"/>
    <w:rsid w:val="004B4899"/>
    <w:rsid w:val="004B5291"/>
    <w:rsid w:val="004B5392"/>
    <w:rsid w:val="004B54D6"/>
    <w:rsid w:val="004B5967"/>
    <w:rsid w:val="004B59B4"/>
    <w:rsid w:val="004B5E37"/>
    <w:rsid w:val="004B6098"/>
    <w:rsid w:val="004B67D4"/>
    <w:rsid w:val="004B694D"/>
    <w:rsid w:val="004B6F96"/>
    <w:rsid w:val="004B72CE"/>
    <w:rsid w:val="004B72F7"/>
    <w:rsid w:val="004B7571"/>
    <w:rsid w:val="004B7913"/>
    <w:rsid w:val="004C05F2"/>
    <w:rsid w:val="004C094F"/>
    <w:rsid w:val="004C0C8B"/>
    <w:rsid w:val="004C0D7B"/>
    <w:rsid w:val="004C0EFF"/>
    <w:rsid w:val="004C18F7"/>
    <w:rsid w:val="004C1EB3"/>
    <w:rsid w:val="004C206D"/>
    <w:rsid w:val="004C219C"/>
    <w:rsid w:val="004C22BF"/>
    <w:rsid w:val="004C2E70"/>
    <w:rsid w:val="004C3178"/>
    <w:rsid w:val="004C32EE"/>
    <w:rsid w:val="004C3A47"/>
    <w:rsid w:val="004C3B1C"/>
    <w:rsid w:val="004C3B27"/>
    <w:rsid w:val="004C3D5F"/>
    <w:rsid w:val="004C45BE"/>
    <w:rsid w:val="004C45E5"/>
    <w:rsid w:val="004C4692"/>
    <w:rsid w:val="004C48D0"/>
    <w:rsid w:val="004C4B7E"/>
    <w:rsid w:val="004C5B3C"/>
    <w:rsid w:val="004C5C84"/>
    <w:rsid w:val="004C5D8D"/>
    <w:rsid w:val="004C653E"/>
    <w:rsid w:val="004C6AD7"/>
    <w:rsid w:val="004C7D16"/>
    <w:rsid w:val="004D00E2"/>
    <w:rsid w:val="004D02BE"/>
    <w:rsid w:val="004D04F8"/>
    <w:rsid w:val="004D06BC"/>
    <w:rsid w:val="004D0B6A"/>
    <w:rsid w:val="004D115B"/>
    <w:rsid w:val="004D1162"/>
    <w:rsid w:val="004D11D7"/>
    <w:rsid w:val="004D11EC"/>
    <w:rsid w:val="004D156F"/>
    <w:rsid w:val="004D1682"/>
    <w:rsid w:val="004D1EFA"/>
    <w:rsid w:val="004D203E"/>
    <w:rsid w:val="004D25F8"/>
    <w:rsid w:val="004D27E8"/>
    <w:rsid w:val="004D287D"/>
    <w:rsid w:val="004D296C"/>
    <w:rsid w:val="004D2A7C"/>
    <w:rsid w:val="004D2AE5"/>
    <w:rsid w:val="004D2B7B"/>
    <w:rsid w:val="004D2CC8"/>
    <w:rsid w:val="004D2F70"/>
    <w:rsid w:val="004D33C1"/>
    <w:rsid w:val="004D3651"/>
    <w:rsid w:val="004D3BC4"/>
    <w:rsid w:val="004D3BE8"/>
    <w:rsid w:val="004D3EBF"/>
    <w:rsid w:val="004D3ED5"/>
    <w:rsid w:val="004D40CF"/>
    <w:rsid w:val="004D489D"/>
    <w:rsid w:val="004D4A8A"/>
    <w:rsid w:val="004D4B23"/>
    <w:rsid w:val="004D4E2F"/>
    <w:rsid w:val="004D5187"/>
    <w:rsid w:val="004D528A"/>
    <w:rsid w:val="004D539F"/>
    <w:rsid w:val="004D5F14"/>
    <w:rsid w:val="004D614D"/>
    <w:rsid w:val="004D64AD"/>
    <w:rsid w:val="004D7051"/>
    <w:rsid w:val="004D71F8"/>
    <w:rsid w:val="004D726C"/>
    <w:rsid w:val="004D72D0"/>
    <w:rsid w:val="004D735A"/>
    <w:rsid w:val="004D7642"/>
    <w:rsid w:val="004D7BA9"/>
    <w:rsid w:val="004D7F42"/>
    <w:rsid w:val="004E0518"/>
    <w:rsid w:val="004E07BA"/>
    <w:rsid w:val="004E0891"/>
    <w:rsid w:val="004E0E55"/>
    <w:rsid w:val="004E1925"/>
    <w:rsid w:val="004E1BFA"/>
    <w:rsid w:val="004E1D4D"/>
    <w:rsid w:val="004E1D4E"/>
    <w:rsid w:val="004E1FA8"/>
    <w:rsid w:val="004E2C34"/>
    <w:rsid w:val="004E2DC0"/>
    <w:rsid w:val="004E2EFF"/>
    <w:rsid w:val="004E2F10"/>
    <w:rsid w:val="004E3F59"/>
    <w:rsid w:val="004E40D3"/>
    <w:rsid w:val="004E4293"/>
    <w:rsid w:val="004E4575"/>
    <w:rsid w:val="004E4A6F"/>
    <w:rsid w:val="004E5157"/>
    <w:rsid w:val="004E58ED"/>
    <w:rsid w:val="004E5DF4"/>
    <w:rsid w:val="004E5E83"/>
    <w:rsid w:val="004E61AE"/>
    <w:rsid w:val="004E65CA"/>
    <w:rsid w:val="004E69AD"/>
    <w:rsid w:val="004E6DD9"/>
    <w:rsid w:val="004E738B"/>
    <w:rsid w:val="004F0616"/>
    <w:rsid w:val="004F06EC"/>
    <w:rsid w:val="004F0C5B"/>
    <w:rsid w:val="004F118B"/>
    <w:rsid w:val="004F1F4A"/>
    <w:rsid w:val="004F2317"/>
    <w:rsid w:val="004F274C"/>
    <w:rsid w:val="004F2B59"/>
    <w:rsid w:val="004F2CF1"/>
    <w:rsid w:val="004F2F56"/>
    <w:rsid w:val="004F33CD"/>
    <w:rsid w:val="004F34AC"/>
    <w:rsid w:val="004F3B1B"/>
    <w:rsid w:val="004F3D00"/>
    <w:rsid w:val="004F46F6"/>
    <w:rsid w:val="004F4871"/>
    <w:rsid w:val="004F48D8"/>
    <w:rsid w:val="004F4A9C"/>
    <w:rsid w:val="004F4B43"/>
    <w:rsid w:val="004F4B4A"/>
    <w:rsid w:val="004F4FE8"/>
    <w:rsid w:val="004F514E"/>
    <w:rsid w:val="004F53D2"/>
    <w:rsid w:val="004F5428"/>
    <w:rsid w:val="004F549A"/>
    <w:rsid w:val="004F56D4"/>
    <w:rsid w:val="004F5F85"/>
    <w:rsid w:val="004F6336"/>
    <w:rsid w:val="004F6B2D"/>
    <w:rsid w:val="004F6B8A"/>
    <w:rsid w:val="004F6FD6"/>
    <w:rsid w:val="004F707B"/>
    <w:rsid w:val="004F76A6"/>
    <w:rsid w:val="004F7A7A"/>
    <w:rsid w:val="005000B9"/>
    <w:rsid w:val="005003A7"/>
    <w:rsid w:val="005003D6"/>
    <w:rsid w:val="005005EF"/>
    <w:rsid w:val="00500845"/>
    <w:rsid w:val="00500F44"/>
    <w:rsid w:val="0050108B"/>
    <w:rsid w:val="00501283"/>
    <w:rsid w:val="005013A7"/>
    <w:rsid w:val="0050151D"/>
    <w:rsid w:val="005018F3"/>
    <w:rsid w:val="00501A95"/>
    <w:rsid w:val="005020BC"/>
    <w:rsid w:val="00502560"/>
    <w:rsid w:val="0050273E"/>
    <w:rsid w:val="005032B0"/>
    <w:rsid w:val="00503AA8"/>
    <w:rsid w:val="0050410F"/>
    <w:rsid w:val="00504166"/>
    <w:rsid w:val="005042DA"/>
    <w:rsid w:val="00504618"/>
    <w:rsid w:val="005047B2"/>
    <w:rsid w:val="00504C70"/>
    <w:rsid w:val="005052C7"/>
    <w:rsid w:val="005054C3"/>
    <w:rsid w:val="0050583D"/>
    <w:rsid w:val="00505891"/>
    <w:rsid w:val="00505960"/>
    <w:rsid w:val="00505B3B"/>
    <w:rsid w:val="0050659C"/>
    <w:rsid w:val="005066EE"/>
    <w:rsid w:val="00506908"/>
    <w:rsid w:val="00506B68"/>
    <w:rsid w:val="00506C4E"/>
    <w:rsid w:val="005079E1"/>
    <w:rsid w:val="00507E4E"/>
    <w:rsid w:val="00507ED3"/>
    <w:rsid w:val="00510281"/>
    <w:rsid w:val="005103F9"/>
    <w:rsid w:val="005106B0"/>
    <w:rsid w:val="00510C50"/>
    <w:rsid w:val="00510FB0"/>
    <w:rsid w:val="005113D2"/>
    <w:rsid w:val="00511469"/>
    <w:rsid w:val="00511479"/>
    <w:rsid w:val="00511993"/>
    <w:rsid w:val="00511B2A"/>
    <w:rsid w:val="00511BAB"/>
    <w:rsid w:val="00512227"/>
    <w:rsid w:val="005129B9"/>
    <w:rsid w:val="00512E29"/>
    <w:rsid w:val="005131C6"/>
    <w:rsid w:val="005133D2"/>
    <w:rsid w:val="0051352E"/>
    <w:rsid w:val="0051389D"/>
    <w:rsid w:val="00513CE0"/>
    <w:rsid w:val="00513D6A"/>
    <w:rsid w:val="005143E4"/>
    <w:rsid w:val="00514758"/>
    <w:rsid w:val="005149FF"/>
    <w:rsid w:val="00515E3D"/>
    <w:rsid w:val="00516C9D"/>
    <w:rsid w:val="00516F5F"/>
    <w:rsid w:val="005172D8"/>
    <w:rsid w:val="00517447"/>
    <w:rsid w:val="0051755C"/>
    <w:rsid w:val="00517944"/>
    <w:rsid w:val="005202BF"/>
    <w:rsid w:val="005209E9"/>
    <w:rsid w:val="00520A02"/>
    <w:rsid w:val="00520A85"/>
    <w:rsid w:val="00520AD1"/>
    <w:rsid w:val="00520BAB"/>
    <w:rsid w:val="00520CEA"/>
    <w:rsid w:val="00520DDE"/>
    <w:rsid w:val="0052105F"/>
    <w:rsid w:val="005213A5"/>
    <w:rsid w:val="00521A3A"/>
    <w:rsid w:val="00521B83"/>
    <w:rsid w:val="00521FB4"/>
    <w:rsid w:val="00522111"/>
    <w:rsid w:val="0052235C"/>
    <w:rsid w:val="00522972"/>
    <w:rsid w:val="00522AC7"/>
    <w:rsid w:val="00522B6C"/>
    <w:rsid w:val="00522DA9"/>
    <w:rsid w:val="00522FDE"/>
    <w:rsid w:val="00523079"/>
    <w:rsid w:val="005230F5"/>
    <w:rsid w:val="00523193"/>
    <w:rsid w:val="00523627"/>
    <w:rsid w:val="0052374D"/>
    <w:rsid w:val="005240B9"/>
    <w:rsid w:val="0052428E"/>
    <w:rsid w:val="005249A0"/>
    <w:rsid w:val="00524DF5"/>
    <w:rsid w:val="005250B0"/>
    <w:rsid w:val="005253EC"/>
    <w:rsid w:val="005256AA"/>
    <w:rsid w:val="00525B26"/>
    <w:rsid w:val="00525B4A"/>
    <w:rsid w:val="00526034"/>
    <w:rsid w:val="005261AC"/>
    <w:rsid w:val="00526707"/>
    <w:rsid w:val="005269CC"/>
    <w:rsid w:val="00526E4B"/>
    <w:rsid w:val="0052747E"/>
    <w:rsid w:val="00530050"/>
    <w:rsid w:val="00530202"/>
    <w:rsid w:val="00530242"/>
    <w:rsid w:val="005305BF"/>
    <w:rsid w:val="00530FEF"/>
    <w:rsid w:val="005312CD"/>
    <w:rsid w:val="005317BD"/>
    <w:rsid w:val="00531842"/>
    <w:rsid w:val="00531A6C"/>
    <w:rsid w:val="00531CCC"/>
    <w:rsid w:val="005320B2"/>
    <w:rsid w:val="005321C7"/>
    <w:rsid w:val="005329C1"/>
    <w:rsid w:val="00532BF2"/>
    <w:rsid w:val="00532F82"/>
    <w:rsid w:val="00533159"/>
    <w:rsid w:val="005334CD"/>
    <w:rsid w:val="005337BA"/>
    <w:rsid w:val="00533DBB"/>
    <w:rsid w:val="00534288"/>
    <w:rsid w:val="00534319"/>
    <w:rsid w:val="00534D6E"/>
    <w:rsid w:val="00534EF4"/>
    <w:rsid w:val="0053510C"/>
    <w:rsid w:val="005357BF"/>
    <w:rsid w:val="00535B3E"/>
    <w:rsid w:val="00536332"/>
    <w:rsid w:val="00536532"/>
    <w:rsid w:val="005367BF"/>
    <w:rsid w:val="00537291"/>
    <w:rsid w:val="005372F5"/>
    <w:rsid w:val="00537490"/>
    <w:rsid w:val="00537494"/>
    <w:rsid w:val="00537B65"/>
    <w:rsid w:val="00540CA7"/>
    <w:rsid w:val="00540CA9"/>
    <w:rsid w:val="00540CFE"/>
    <w:rsid w:val="00540D00"/>
    <w:rsid w:val="005410A4"/>
    <w:rsid w:val="00541238"/>
    <w:rsid w:val="005416C0"/>
    <w:rsid w:val="00541B7E"/>
    <w:rsid w:val="00541D43"/>
    <w:rsid w:val="005426FE"/>
    <w:rsid w:val="00542D0B"/>
    <w:rsid w:val="00542D9E"/>
    <w:rsid w:val="0054307B"/>
    <w:rsid w:val="0054354A"/>
    <w:rsid w:val="00543E8F"/>
    <w:rsid w:val="00543F43"/>
    <w:rsid w:val="005448BC"/>
    <w:rsid w:val="005449C4"/>
    <w:rsid w:val="00544B33"/>
    <w:rsid w:val="00544C89"/>
    <w:rsid w:val="00545667"/>
    <w:rsid w:val="0054578B"/>
    <w:rsid w:val="00546898"/>
    <w:rsid w:val="0054720D"/>
    <w:rsid w:val="005472CC"/>
    <w:rsid w:val="00547874"/>
    <w:rsid w:val="0054798A"/>
    <w:rsid w:val="00547C25"/>
    <w:rsid w:val="00550121"/>
    <w:rsid w:val="0055045A"/>
    <w:rsid w:val="00550B6D"/>
    <w:rsid w:val="00550ECC"/>
    <w:rsid w:val="00550F8A"/>
    <w:rsid w:val="0055123F"/>
    <w:rsid w:val="00551E82"/>
    <w:rsid w:val="00552082"/>
    <w:rsid w:val="005520F0"/>
    <w:rsid w:val="0055224A"/>
    <w:rsid w:val="00552755"/>
    <w:rsid w:val="00552803"/>
    <w:rsid w:val="00552897"/>
    <w:rsid w:val="00552A0A"/>
    <w:rsid w:val="00552C36"/>
    <w:rsid w:val="00552DAC"/>
    <w:rsid w:val="00552E8D"/>
    <w:rsid w:val="00552F39"/>
    <w:rsid w:val="00553146"/>
    <w:rsid w:val="00553160"/>
    <w:rsid w:val="0055335F"/>
    <w:rsid w:val="0055382B"/>
    <w:rsid w:val="00553D62"/>
    <w:rsid w:val="005549B9"/>
    <w:rsid w:val="00554C8F"/>
    <w:rsid w:val="00555426"/>
    <w:rsid w:val="00555909"/>
    <w:rsid w:val="00555C05"/>
    <w:rsid w:val="0055623C"/>
    <w:rsid w:val="0055668D"/>
    <w:rsid w:val="00556C94"/>
    <w:rsid w:val="00556DE9"/>
    <w:rsid w:val="0055710D"/>
    <w:rsid w:val="00557554"/>
    <w:rsid w:val="005575ED"/>
    <w:rsid w:val="00557697"/>
    <w:rsid w:val="005577E7"/>
    <w:rsid w:val="0055792E"/>
    <w:rsid w:val="00557E7B"/>
    <w:rsid w:val="00557F9D"/>
    <w:rsid w:val="0056016C"/>
    <w:rsid w:val="00560D05"/>
    <w:rsid w:val="0056144F"/>
    <w:rsid w:val="00561578"/>
    <w:rsid w:val="005616AF"/>
    <w:rsid w:val="005616DF"/>
    <w:rsid w:val="00561876"/>
    <w:rsid w:val="005618AB"/>
    <w:rsid w:val="00562653"/>
    <w:rsid w:val="00562703"/>
    <w:rsid w:val="00562D66"/>
    <w:rsid w:val="00562DB8"/>
    <w:rsid w:val="005631F8"/>
    <w:rsid w:val="005632A6"/>
    <w:rsid w:val="00563345"/>
    <w:rsid w:val="005633BD"/>
    <w:rsid w:val="00563986"/>
    <w:rsid w:val="00563BFC"/>
    <w:rsid w:val="00563C3B"/>
    <w:rsid w:val="00563C99"/>
    <w:rsid w:val="00563DEB"/>
    <w:rsid w:val="005645F4"/>
    <w:rsid w:val="00564855"/>
    <w:rsid w:val="00564A6D"/>
    <w:rsid w:val="00565462"/>
    <w:rsid w:val="0056562C"/>
    <w:rsid w:val="0056567C"/>
    <w:rsid w:val="005658D9"/>
    <w:rsid w:val="00565A54"/>
    <w:rsid w:val="00566ED1"/>
    <w:rsid w:val="005674F6"/>
    <w:rsid w:val="005679D5"/>
    <w:rsid w:val="00567B80"/>
    <w:rsid w:val="00570650"/>
    <w:rsid w:val="0057091C"/>
    <w:rsid w:val="00570B33"/>
    <w:rsid w:val="00570EDC"/>
    <w:rsid w:val="00571A77"/>
    <w:rsid w:val="00571DED"/>
    <w:rsid w:val="00571EFF"/>
    <w:rsid w:val="00572026"/>
    <w:rsid w:val="00572150"/>
    <w:rsid w:val="0057298A"/>
    <w:rsid w:val="00572DA4"/>
    <w:rsid w:val="00573041"/>
    <w:rsid w:val="005733AE"/>
    <w:rsid w:val="00573A88"/>
    <w:rsid w:val="00573C94"/>
    <w:rsid w:val="00573DAF"/>
    <w:rsid w:val="00574680"/>
    <w:rsid w:val="00574B77"/>
    <w:rsid w:val="0057502D"/>
    <w:rsid w:val="005755EE"/>
    <w:rsid w:val="005759CE"/>
    <w:rsid w:val="00575BF6"/>
    <w:rsid w:val="00575EA2"/>
    <w:rsid w:val="005764D9"/>
    <w:rsid w:val="00576769"/>
    <w:rsid w:val="00576952"/>
    <w:rsid w:val="00576A0C"/>
    <w:rsid w:val="00576C5C"/>
    <w:rsid w:val="00576CD6"/>
    <w:rsid w:val="00576CF1"/>
    <w:rsid w:val="005772B9"/>
    <w:rsid w:val="00577531"/>
    <w:rsid w:val="00577940"/>
    <w:rsid w:val="00577B12"/>
    <w:rsid w:val="00577EEB"/>
    <w:rsid w:val="00577F16"/>
    <w:rsid w:val="00577F3A"/>
    <w:rsid w:val="00580850"/>
    <w:rsid w:val="005808E0"/>
    <w:rsid w:val="00581328"/>
    <w:rsid w:val="00581835"/>
    <w:rsid w:val="00581A5A"/>
    <w:rsid w:val="00581D00"/>
    <w:rsid w:val="00582626"/>
    <w:rsid w:val="00582637"/>
    <w:rsid w:val="00582F9E"/>
    <w:rsid w:val="0058339B"/>
    <w:rsid w:val="005834CF"/>
    <w:rsid w:val="005836C5"/>
    <w:rsid w:val="005837AA"/>
    <w:rsid w:val="00583914"/>
    <w:rsid w:val="00583923"/>
    <w:rsid w:val="00583A15"/>
    <w:rsid w:val="005843FD"/>
    <w:rsid w:val="00584483"/>
    <w:rsid w:val="0058480D"/>
    <w:rsid w:val="00584D29"/>
    <w:rsid w:val="00584DBE"/>
    <w:rsid w:val="00584FB6"/>
    <w:rsid w:val="005851A3"/>
    <w:rsid w:val="005852F8"/>
    <w:rsid w:val="00585666"/>
    <w:rsid w:val="0058575B"/>
    <w:rsid w:val="00585AB9"/>
    <w:rsid w:val="0058613B"/>
    <w:rsid w:val="00586C70"/>
    <w:rsid w:val="00586F90"/>
    <w:rsid w:val="005870EF"/>
    <w:rsid w:val="00587890"/>
    <w:rsid w:val="00587994"/>
    <w:rsid w:val="00587A16"/>
    <w:rsid w:val="00587AAE"/>
    <w:rsid w:val="00587EDB"/>
    <w:rsid w:val="0059048F"/>
    <w:rsid w:val="00590976"/>
    <w:rsid w:val="00590C5E"/>
    <w:rsid w:val="00591083"/>
    <w:rsid w:val="005911A8"/>
    <w:rsid w:val="005913D6"/>
    <w:rsid w:val="00591470"/>
    <w:rsid w:val="00591A08"/>
    <w:rsid w:val="00591A90"/>
    <w:rsid w:val="00591A9C"/>
    <w:rsid w:val="005921CD"/>
    <w:rsid w:val="0059252C"/>
    <w:rsid w:val="00592891"/>
    <w:rsid w:val="00592C25"/>
    <w:rsid w:val="0059335E"/>
    <w:rsid w:val="005933E3"/>
    <w:rsid w:val="005937DE"/>
    <w:rsid w:val="00593B67"/>
    <w:rsid w:val="00593D0E"/>
    <w:rsid w:val="00594136"/>
    <w:rsid w:val="00594178"/>
    <w:rsid w:val="005943AB"/>
    <w:rsid w:val="005948D7"/>
    <w:rsid w:val="00594901"/>
    <w:rsid w:val="00594A81"/>
    <w:rsid w:val="00594C7B"/>
    <w:rsid w:val="00595050"/>
    <w:rsid w:val="005955F3"/>
    <w:rsid w:val="00595DAD"/>
    <w:rsid w:val="00596794"/>
    <w:rsid w:val="005967E9"/>
    <w:rsid w:val="00596935"/>
    <w:rsid w:val="0059698B"/>
    <w:rsid w:val="005969A6"/>
    <w:rsid w:val="005976F4"/>
    <w:rsid w:val="0059783D"/>
    <w:rsid w:val="005979F2"/>
    <w:rsid w:val="00597BB9"/>
    <w:rsid w:val="00597DAD"/>
    <w:rsid w:val="005A05F1"/>
    <w:rsid w:val="005A073F"/>
    <w:rsid w:val="005A0880"/>
    <w:rsid w:val="005A08D2"/>
    <w:rsid w:val="005A09BE"/>
    <w:rsid w:val="005A0CC8"/>
    <w:rsid w:val="005A0FD1"/>
    <w:rsid w:val="005A19CD"/>
    <w:rsid w:val="005A19F9"/>
    <w:rsid w:val="005A1CB0"/>
    <w:rsid w:val="005A1D58"/>
    <w:rsid w:val="005A223A"/>
    <w:rsid w:val="005A24F0"/>
    <w:rsid w:val="005A297B"/>
    <w:rsid w:val="005A3830"/>
    <w:rsid w:val="005A3D0A"/>
    <w:rsid w:val="005A4636"/>
    <w:rsid w:val="005A4DD2"/>
    <w:rsid w:val="005A4F55"/>
    <w:rsid w:val="005A54C9"/>
    <w:rsid w:val="005A5605"/>
    <w:rsid w:val="005A5698"/>
    <w:rsid w:val="005A5A08"/>
    <w:rsid w:val="005A5F64"/>
    <w:rsid w:val="005A6865"/>
    <w:rsid w:val="005A69B5"/>
    <w:rsid w:val="005A6B54"/>
    <w:rsid w:val="005A6EE1"/>
    <w:rsid w:val="005A6FDF"/>
    <w:rsid w:val="005A745E"/>
    <w:rsid w:val="005B06E4"/>
    <w:rsid w:val="005B19B6"/>
    <w:rsid w:val="005B1A4A"/>
    <w:rsid w:val="005B1C91"/>
    <w:rsid w:val="005B2B1A"/>
    <w:rsid w:val="005B2C34"/>
    <w:rsid w:val="005B322B"/>
    <w:rsid w:val="005B3569"/>
    <w:rsid w:val="005B3961"/>
    <w:rsid w:val="005B3AB6"/>
    <w:rsid w:val="005B3D29"/>
    <w:rsid w:val="005B3FBF"/>
    <w:rsid w:val="005B4224"/>
    <w:rsid w:val="005B491D"/>
    <w:rsid w:val="005B5067"/>
    <w:rsid w:val="005B5069"/>
    <w:rsid w:val="005B5FE6"/>
    <w:rsid w:val="005B605E"/>
    <w:rsid w:val="005B6A11"/>
    <w:rsid w:val="005B6BEE"/>
    <w:rsid w:val="005B6ECB"/>
    <w:rsid w:val="005B6F7F"/>
    <w:rsid w:val="005B736D"/>
    <w:rsid w:val="005B7BDA"/>
    <w:rsid w:val="005B7FF2"/>
    <w:rsid w:val="005C0322"/>
    <w:rsid w:val="005C0CD3"/>
    <w:rsid w:val="005C0CF7"/>
    <w:rsid w:val="005C1020"/>
    <w:rsid w:val="005C1720"/>
    <w:rsid w:val="005C17FC"/>
    <w:rsid w:val="005C28CA"/>
    <w:rsid w:val="005C28F6"/>
    <w:rsid w:val="005C2996"/>
    <w:rsid w:val="005C2A0D"/>
    <w:rsid w:val="005C2A63"/>
    <w:rsid w:val="005C2CC1"/>
    <w:rsid w:val="005C323B"/>
    <w:rsid w:val="005C328C"/>
    <w:rsid w:val="005C3294"/>
    <w:rsid w:val="005C332F"/>
    <w:rsid w:val="005C3436"/>
    <w:rsid w:val="005C3A6C"/>
    <w:rsid w:val="005C4007"/>
    <w:rsid w:val="005C42D5"/>
    <w:rsid w:val="005C4ECB"/>
    <w:rsid w:val="005C572F"/>
    <w:rsid w:val="005C5CBB"/>
    <w:rsid w:val="005C60EF"/>
    <w:rsid w:val="005C60FF"/>
    <w:rsid w:val="005C6649"/>
    <w:rsid w:val="005C6786"/>
    <w:rsid w:val="005C6832"/>
    <w:rsid w:val="005C6CA6"/>
    <w:rsid w:val="005C7202"/>
    <w:rsid w:val="005C7285"/>
    <w:rsid w:val="005C77C3"/>
    <w:rsid w:val="005C797C"/>
    <w:rsid w:val="005D0261"/>
    <w:rsid w:val="005D0892"/>
    <w:rsid w:val="005D0FA7"/>
    <w:rsid w:val="005D11EC"/>
    <w:rsid w:val="005D13BA"/>
    <w:rsid w:val="005D1CA9"/>
    <w:rsid w:val="005D2599"/>
    <w:rsid w:val="005D2C38"/>
    <w:rsid w:val="005D3BFD"/>
    <w:rsid w:val="005D3E74"/>
    <w:rsid w:val="005D48E6"/>
    <w:rsid w:val="005D4975"/>
    <w:rsid w:val="005D5942"/>
    <w:rsid w:val="005D6292"/>
    <w:rsid w:val="005D639D"/>
    <w:rsid w:val="005D6434"/>
    <w:rsid w:val="005D6C24"/>
    <w:rsid w:val="005D7035"/>
    <w:rsid w:val="005D79FC"/>
    <w:rsid w:val="005E041A"/>
    <w:rsid w:val="005E094A"/>
    <w:rsid w:val="005E0C79"/>
    <w:rsid w:val="005E0CFA"/>
    <w:rsid w:val="005E1433"/>
    <w:rsid w:val="005E19B8"/>
    <w:rsid w:val="005E205A"/>
    <w:rsid w:val="005E20AA"/>
    <w:rsid w:val="005E22C1"/>
    <w:rsid w:val="005E2373"/>
    <w:rsid w:val="005E25EA"/>
    <w:rsid w:val="005E2816"/>
    <w:rsid w:val="005E2B81"/>
    <w:rsid w:val="005E2BFD"/>
    <w:rsid w:val="005E2CE6"/>
    <w:rsid w:val="005E37CB"/>
    <w:rsid w:val="005E3BA3"/>
    <w:rsid w:val="005E3F37"/>
    <w:rsid w:val="005E423F"/>
    <w:rsid w:val="005E456C"/>
    <w:rsid w:val="005E45AE"/>
    <w:rsid w:val="005E4C74"/>
    <w:rsid w:val="005E4CB1"/>
    <w:rsid w:val="005E4EB9"/>
    <w:rsid w:val="005E5140"/>
    <w:rsid w:val="005E571D"/>
    <w:rsid w:val="005E584C"/>
    <w:rsid w:val="005E59E3"/>
    <w:rsid w:val="005E59F5"/>
    <w:rsid w:val="005E5BD7"/>
    <w:rsid w:val="005E5D3B"/>
    <w:rsid w:val="005E5E61"/>
    <w:rsid w:val="005E6705"/>
    <w:rsid w:val="005E69BD"/>
    <w:rsid w:val="005E708A"/>
    <w:rsid w:val="005E7317"/>
    <w:rsid w:val="005E774B"/>
    <w:rsid w:val="005E7CB3"/>
    <w:rsid w:val="005E7CBB"/>
    <w:rsid w:val="005E7D04"/>
    <w:rsid w:val="005E7D31"/>
    <w:rsid w:val="005E7DD7"/>
    <w:rsid w:val="005E7EA1"/>
    <w:rsid w:val="005E7F25"/>
    <w:rsid w:val="005F07D3"/>
    <w:rsid w:val="005F095B"/>
    <w:rsid w:val="005F1570"/>
    <w:rsid w:val="005F1D6C"/>
    <w:rsid w:val="005F215D"/>
    <w:rsid w:val="005F2665"/>
    <w:rsid w:val="005F289A"/>
    <w:rsid w:val="005F29BF"/>
    <w:rsid w:val="005F3184"/>
    <w:rsid w:val="005F3498"/>
    <w:rsid w:val="005F3671"/>
    <w:rsid w:val="005F3773"/>
    <w:rsid w:val="005F3E82"/>
    <w:rsid w:val="005F3EDD"/>
    <w:rsid w:val="005F3FCE"/>
    <w:rsid w:val="005F490E"/>
    <w:rsid w:val="005F4BE0"/>
    <w:rsid w:val="005F4CFA"/>
    <w:rsid w:val="005F536E"/>
    <w:rsid w:val="005F5711"/>
    <w:rsid w:val="005F593F"/>
    <w:rsid w:val="005F5F8A"/>
    <w:rsid w:val="005F6485"/>
    <w:rsid w:val="005F6D5B"/>
    <w:rsid w:val="005F712D"/>
    <w:rsid w:val="005F71D8"/>
    <w:rsid w:val="005F7469"/>
    <w:rsid w:val="005F7574"/>
    <w:rsid w:val="005F7A3D"/>
    <w:rsid w:val="005F7FC7"/>
    <w:rsid w:val="006005A4"/>
    <w:rsid w:val="0060074E"/>
    <w:rsid w:val="0060142F"/>
    <w:rsid w:val="00601817"/>
    <w:rsid w:val="00601DB4"/>
    <w:rsid w:val="00602200"/>
    <w:rsid w:val="006028D9"/>
    <w:rsid w:val="00602B10"/>
    <w:rsid w:val="00602B8B"/>
    <w:rsid w:val="00602BE2"/>
    <w:rsid w:val="00602D59"/>
    <w:rsid w:val="00602F2A"/>
    <w:rsid w:val="006032FB"/>
    <w:rsid w:val="00603495"/>
    <w:rsid w:val="00603CCE"/>
    <w:rsid w:val="00604629"/>
    <w:rsid w:val="0060494D"/>
    <w:rsid w:val="00604C9C"/>
    <w:rsid w:val="00604DFC"/>
    <w:rsid w:val="006051F2"/>
    <w:rsid w:val="0060532D"/>
    <w:rsid w:val="00605365"/>
    <w:rsid w:val="00605554"/>
    <w:rsid w:val="0060566C"/>
    <w:rsid w:val="006063B0"/>
    <w:rsid w:val="006063C4"/>
    <w:rsid w:val="0060645D"/>
    <w:rsid w:val="006064B5"/>
    <w:rsid w:val="006064DE"/>
    <w:rsid w:val="00606A8A"/>
    <w:rsid w:val="00606E28"/>
    <w:rsid w:val="006070D2"/>
    <w:rsid w:val="00607B77"/>
    <w:rsid w:val="0061003A"/>
    <w:rsid w:val="00610252"/>
    <w:rsid w:val="0061068E"/>
    <w:rsid w:val="00610E02"/>
    <w:rsid w:val="00611512"/>
    <w:rsid w:val="00611D90"/>
    <w:rsid w:val="0061240D"/>
    <w:rsid w:val="0061266A"/>
    <w:rsid w:val="006128D7"/>
    <w:rsid w:val="00613183"/>
    <w:rsid w:val="00613604"/>
    <w:rsid w:val="00613753"/>
    <w:rsid w:val="006139DB"/>
    <w:rsid w:val="006139F2"/>
    <w:rsid w:val="00613CD8"/>
    <w:rsid w:val="00613D0D"/>
    <w:rsid w:val="00613E2B"/>
    <w:rsid w:val="006150C9"/>
    <w:rsid w:val="0061548B"/>
    <w:rsid w:val="00615912"/>
    <w:rsid w:val="006160AB"/>
    <w:rsid w:val="00616FFA"/>
    <w:rsid w:val="00617509"/>
    <w:rsid w:val="0061772D"/>
    <w:rsid w:val="006200F2"/>
    <w:rsid w:val="00620102"/>
    <w:rsid w:val="0062063E"/>
    <w:rsid w:val="006206AA"/>
    <w:rsid w:val="006210F4"/>
    <w:rsid w:val="00621291"/>
    <w:rsid w:val="00621338"/>
    <w:rsid w:val="006215E8"/>
    <w:rsid w:val="00621740"/>
    <w:rsid w:val="006219D3"/>
    <w:rsid w:val="00621F69"/>
    <w:rsid w:val="00621FD5"/>
    <w:rsid w:val="00622336"/>
    <w:rsid w:val="006226A5"/>
    <w:rsid w:val="00622C2C"/>
    <w:rsid w:val="00622CB1"/>
    <w:rsid w:val="00622CCE"/>
    <w:rsid w:val="00622CD4"/>
    <w:rsid w:val="0062344C"/>
    <w:rsid w:val="00623B95"/>
    <w:rsid w:val="00623BA4"/>
    <w:rsid w:val="00623C43"/>
    <w:rsid w:val="00623DD7"/>
    <w:rsid w:val="00624107"/>
    <w:rsid w:val="00624272"/>
    <w:rsid w:val="00624789"/>
    <w:rsid w:val="00624BB0"/>
    <w:rsid w:val="00624D21"/>
    <w:rsid w:val="006255DB"/>
    <w:rsid w:val="00625FE2"/>
    <w:rsid w:val="006263D6"/>
    <w:rsid w:val="00626829"/>
    <w:rsid w:val="00626CE8"/>
    <w:rsid w:val="00627687"/>
    <w:rsid w:val="00627C28"/>
    <w:rsid w:val="006303C9"/>
    <w:rsid w:val="006304E3"/>
    <w:rsid w:val="006307F8"/>
    <w:rsid w:val="00630945"/>
    <w:rsid w:val="00630B96"/>
    <w:rsid w:val="006314C1"/>
    <w:rsid w:val="00631654"/>
    <w:rsid w:val="0063207A"/>
    <w:rsid w:val="006326D2"/>
    <w:rsid w:val="006328D6"/>
    <w:rsid w:val="00632BF6"/>
    <w:rsid w:val="00632C51"/>
    <w:rsid w:val="006330FC"/>
    <w:rsid w:val="00633398"/>
    <w:rsid w:val="006337EA"/>
    <w:rsid w:val="00633A71"/>
    <w:rsid w:val="00634304"/>
    <w:rsid w:val="006344C1"/>
    <w:rsid w:val="00634C24"/>
    <w:rsid w:val="00634D2B"/>
    <w:rsid w:val="0063510B"/>
    <w:rsid w:val="00635C9B"/>
    <w:rsid w:val="00635CEE"/>
    <w:rsid w:val="0063639F"/>
    <w:rsid w:val="00636411"/>
    <w:rsid w:val="0063645F"/>
    <w:rsid w:val="00636A59"/>
    <w:rsid w:val="00637920"/>
    <w:rsid w:val="00637D31"/>
    <w:rsid w:val="00637F96"/>
    <w:rsid w:val="0064048D"/>
    <w:rsid w:val="006405A4"/>
    <w:rsid w:val="00640CE5"/>
    <w:rsid w:val="00640EF5"/>
    <w:rsid w:val="006410DC"/>
    <w:rsid w:val="00641268"/>
    <w:rsid w:val="0064127F"/>
    <w:rsid w:val="00641652"/>
    <w:rsid w:val="0064195D"/>
    <w:rsid w:val="00641C40"/>
    <w:rsid w:val="00642073"/>
    <w:rsid w:val="00642319"/>
    <w:rsid w:val="00642417"/>
    <w:rsid w:val="0064261C"/>
    <w:rsid w:val="0064272D"/>
    <w:rsid w:val="00642761"/>
    <w:rsid w:val="00642956"/>
    <w:rsid w:val="00643391"/>
    <w:rsid w:val="006439FD"/>
    <w:rsid w:val="00643AF1"/>
    <w:rsid w:val="00643F40"/>
    <w:rsid w:val="0064446F"/>
    <w:rsid w:val="0064450E"/>
    <w:rsid w:val="00644598"/>
    <w:rsid w:val="00644A04"/>
    <w:rsid w:val="00644B11"/>
    <w:rsid w:val="00644F5E"/>
    <w:rsid w:val="00644FCC"/>
    <w:rsid w:val="0064582E"/>
    <w:rsid w:val="00645832"/>
    <w:rsid w:val="00645AAF"/>
    <w:rsid w:val="00645C2F"/>
    <w:rsid w:val="00645C93"/>
    <w:rsid w:val="0064679D"/>
    <w:rsid w:val="00646FD2"/>
    <w:rsid w:val="006472A2"/>
    <w:rsid w:val="006476E9"/>
    <w:rsid w:val="0064774A"/>
    <w:rsid w:val="0064792C"/>
    <w:rsid w:val="00647B82"/>
    <w:rsid w:val="00647B9F"/>
    <w:rsid w:val="00647C6F"/>
    <w:rsid w:val="00647E03"/>
    <w:rsid w:val="00647F10"/>
    <w:rsid w:val="0065042F"/>
    <w:rsid w:val="006504F9"/>
    <w:rsid w:val="0065087A"/>
    <w:rsid w:val="00650BB9"/>
    <w:rsid w:val="006515B1"/>
    <w:rsid w:val="00651735"/>
    <w:rsid w:val="00651922"/>
    <w:rsid w:val="00651B01"/>
    <w:rsid w:val="00651E84"/>
    <w:rsid w:val="00651F86"/>
    <w:rsid w:val="00652374"/>
    <w:rsid w:val="00652776"/>
    <w:rsid w:val="006531FE"/>
    <w:rsid w:val="006532BE"/>
    <w:rsid w:val="00653435"/>
    <w:rsid w:val="006537D8"/>
    <w:rsid w:val="006537FF"/>
    <w:rsid w:val="0065388E"/>
    <w:rsid w:val="0065390D"/>
    <w:rsid w:val="006539B9"/>
    <w:rsid w:val="00653C43"/>
    <w:rsid w:val="006540B4"/>
    <w:rsid w:val="00654196"/>
    <w:rsid w:val="006542DD"/>
    <w:rsid w:val="006543B9"/>
    <w:rsid w:val="0065458D"/>
    <w:rsid w:val="006546F9"/>
    <w:rsid w:val="006548E7"/>
    <w:rsid w:val="0065496A"/>
    <w:rsid w:val="006549A2"/>
    <w:rsid w:val="00655244"/>
    <w:rsid w:val="006552AC"/>
    <w:rsid w:val="006553E0"/>
    <w:rsid w:val="006559A2"/>
    <w:rsid w:val="0065609F"/>
    <w:rsid w:val="006562C4"/>
    <w:rsid w:val="0065655C"/>
    <w:rsid w:val="00656A0F"/>
    <w:rsid w:val="00656FAA"/>
    <w:rsid w:val="00656FEC"/>
    <w:rsid w:val="006572B3"/>
    <w:rsid w:val="0065740C"/>
    <w:rsid w:val="00657470"/>
    <w:rsid w:val="0065782F"/>
    <w:rsid w:val="00657D70"/>
    <w:rsid w:val="00657DD8"/>
    <w:rsid w:val="006606F7"/>
    <w:rsid w:val="00660987"/>
    <w:rsid w:val="0066145E"/>
    <w:rsid w:val="00661C89"/>
    <w:rsid w:val="00662060"/>
    <w:rsid w:val="00662950"/>
    <w:rsid w:val="00662B85"/>
    <w:rsid w:val="0066388D"/>
    <w:rsid w:val="006645E0"/>
    <w:rsid w:val="0066475E"/>
    <w:rsid w:val="00664D11"/>
    <w:rsid w:val="00664DAC"/>
    <w:rsid w:val="00665186"/>
    <w:rsid w:val="006655F0"/>
    <w:rsid w:val="006658B6"/>
    <w:rsid w:val="00665D9B"/>
    <w:rsid w:val="00667896"/>
    <w:rsid w:val="00667D56"/>
    <w:rsid w:val="00667E8F"/>
    <w:rsid w:val="006706A0"/>
    <w:rsid w:val="006709B6"/>
    <w:rsid w:val="00671083"/>
    <w:rsid w:val="006711D2"/>
    <w:rsid w:val="0067125E"/>
    <w:rsid w:val="006712C2"/>
    <w:rsid w:val="00671581"/>
    <w:rsid w:val="006717EE"/>
    <w:rsid w:val="00671992"/>
    <w:rsid w:val="00672145"/>
    <w:rsid w:val="00672260"/>
    <w:rsid w:val="00672280"/>
    <w:rsid w:val="006723C0"/>
    <w:rsid w:val="006728F2"/>
    <w:rsid w:val="0067307D"/>
    <w:rsid w:val="006730C1"/>
    <w:rsid w:val="0067348D"/>
    <w:rsid w:val="0067369A"/>
    <w:rsid w:val="00673923"/>
    <w:rsid w:val="00673E03"/>
    <w:rsid w:val="00673E1D"/>
    <w:rsid w:val="00674CF2"/>
    <w:rsid w:val="00675662"/>
    <w:rsid w:val="00675669"/>
    <w:rsid w:val="00675DB5"/>
    <w:rsid w:val="00676358"/>
    <w:rsid w:val="006768A2"/>
    <w:rsid w:val="0067697C"/>
    <w:rsid w:val="006771D8"/>
    <w:rsid w:val="0067760A"/>
    <w:rsid w:val="00677DB1"/>
    <w:rsid w:val="00680657"/>
    <w:rsid w:val="00681082"/>
    <w:rsid w:val="0068183F"/>
    <w:rsid w:val="006818C9"/>
    <w:rsid w:val="0068190F"/>
    <w:rsid w:val="006823C6"/>
    <w:rsid w:val="0068253A"/>
    <w:rsid w:val="006828C0"/>
    <w:rsid w:val="00682BB7"/>
    <w:rsid w:val="00682DC2"/>
    <w:rsid w:val="006836ED"/>
    <w:rsid w:val="006836F3"/>
    <w:rsid w:val="00683A83"/>
    <w:rsid w:val="00683BB4"/>
    <w:rsid w:val="006842CB"/>
    <w:rsid w:val="00684BBA"/>
    <w:rsid w:val="00685080"/>
    <w:rsid w:val="006852C7"/>
    <w:rsid w:val="00685743"/>
    <w:rsid w:val="00685B6D"/>
    <w:rsid w:val="00686231"/>
    <w:rsid w:val="0068686E"/>
    <w:rsid w:val="00686E87"/>
    <w:rsid w:val="00686F87"/>
    <w:rsid w:val="006873F0"/>
    <w:rsid w:val="00687441"/>
    <w:rsid w:val="006874AF"/>
    <w:rsid w:val="006906D1"/>
    <w:rsid w:val="00690B9F"/>
    <w:rsid w:val="00690CFD"/>
    <w:rsid w:val="00690EB1"/>
    <w:rsid w:val="00690FD3"/>
    <w:rsid w:val="00691056"/>
    <w:rsid w:val="00691242"/>
    <w:rsid w:val="0069134D"/>
    <w:rsid w:val="00691B91"/>
    <w:rsid w:val="00691C01"/>
    <w:rsid w:val="00692D1D"/>
    <w:rsid w:val="0069400A"/>
    <w:rsid w:val="0069465F"/>
    <w:rsid w:val="006951CF"/>
    <w:rsid w:val="00695452"/>
    <w:rsid w:val="00695A13"/>
    <w:rsid w:val="00696069"/>
    <w:rsid w:val="00696501"/>
    <w:rsid w:val="00696CF4"/>
    <w:rsid w:val="006A0030"/>
    <w:rsid w:val="006A02E6"/>
    <w:rsid w:val="006A097B"/>
    <w:rsid w:val="006A10A5"/>
    <w:rsid w:val="006A12AE"/>
    <w:rsid w:val="006A2302"/>
    <w:rsid w:val="006A28F4"/>
    <w:rsid w:val="006A2BF5"/>
    <w:rsid w:val="006A335F"/>
    <w:rsid w:val="006A3965"/>
    <w:rsid w:val="006A3CF8"/>
    <w:rsid w:val="006A3E8E"/>
    <w:rsid w:val="006A43AE"/>
    <w:rsid w:val="006A43BB"/>
    <w:rsid w:val="006A4540"/>
    <w:rsid w:val="006A4601"/>
    <w:rsid w:val="006A4770"/>
    <w:rsid w:val="006A4CD6"/>
    <w:rsid w:val="006A4DC1"/>
    <w:rsid w:val="006A5020"/>
    <w:rsid w:val="006A5288"/>
    <w:rsid w:val="006A60A7"/>
    <w:rsid w:val="006A614C"/>
    <w:rsid w:val="006A63D2"/>
    <w:rsid w:val="006A6639"/>
    <w:rsid w:val="006A7673"/>
    <w:rsid w:val="006A7FBE"/>
    <w:rsid w:val="006B0350"/>
    <w:rsid w:val="006B0CB6"/>
    <w:rsid w:val="006B0E77"/>
    <w:rsid w:val="006B101A"/>
    <w:rsid w:val="006B13D2"/>
    <w:rsid w:val="006B140A"/>
    <w:rsid w:val="006B1463"/>
    <w:rsid w:val="006B1590"/>
    <w:rsid w:val="006B19A4"/>
    <w:rsid w:val="006B1CAA"/>
    <w:rsid w:val="006B26E5"/>
    <w:rsid w:val="006B314A"/>
    <w:rsid w:val="006B31F2"/>
    <w:rsid w:val="006B3252"/>
    <w:rsid w:val="006B3879"/>
    <w:rsid w:val="006B3C32"/>
    <w:rsid w:val="006B406F"/>
    <w:rsid w:val="006B407A"/>
    <w:rsid w:val="006B45F5"/>
    <w:rsid w:val="006B4781"/>
    <w:rsid w:val="006B4898"/>
    <w:rsid w:val="006B4CA7"/>
    <w:rsid w:val="006B574D"/>
    <w:rsid w:val="006B5D01"/>
    <w:rsid w:val="006B5DC6"/>
    <w:rsid w:val="006B5E5B"/>
    <w:rsid w:val="006B6079"/>
    <w:rsid w:val="006B61A9"/>
    <w:rsid w:val="006B6381"/>
    <w:rsid w:val="006B6888"/>
    <w:rsid w:val="006B6AFE"/>
    <w:rsid w:val="006B6BDF"/>
    <w:rsid w:val="006B6CE5"/>
    <w:rsid w:val="006B7968"/>
    <w:rsid w:val="006B7D33"/>
    <w:rsid w:val="006C18B3"/>
    <w:rsid w:val="006C1C95"/>
    <w:rsid w:val="006C1CA7"/>
    <w:rsid w:val="006C1DC6"/>
    <w:rsid w:val="006C1EA8"/>
    <w:rsid w:val="006C206D"/>
    <w:rsid w:val="006C266C"/>
    <w:rsid w:val="006C27D0"/>
    <w:rsid w:val="006C28B9"/>
    <w:rsid w:val="006C2B43"/>
    <w:rsid w:val="006C2D68"/>
    <w:rsid w:val="006C31B7"/>
    <w:rsid w:val="006C3CEE"/>
    <w:rsid w:val="006C45A2"/>
    <w:rsid w:val="006C5609"/>
    <w:rsid w:val="006C59EA"/>
    <w:rsid w:val="006C5E80"/>
    <w:rsid w:val="006C5FC4"/>
    <w:rsid w:val="006C61F1"/>
    <w:rsid w:val="006C64DF"/>
    <w:rsid w:val="006C7016"/>
    <w:rsid w:val="006C73DD"/>
    <w:rsid w:val="006C753C"/>
    <w:rsid w:val="006C7A5D"/>
    <w:rsid w:val="006C7FC1"/>
    <w:rsid w:val="006D00E5"/>
    <w:rsid w:val="006D0396"/>
    <w:rsid w:val="006D0608"/>
    <w:rsid w:val="006D0879"/>
    <w:rsid w:val="006D0A74"/>
    <w:rsid w:val="006D0AE9"/>
    <w:rsid w:val="006D0F41"/>
    <w:rsid w:val="006D1059"/>
    <w:rsid w:val="006D1854"/>
    <w:rsid w:val="006D1D9B"/>
    <w:rsid w:val="006D1E2B"/>
    <w:rsid w:val="006D23ED"/>
    <w:rsid w:val="006D24A4"/>
    <w:rsid w:val="006D267E"/>
    <w:rsid w:val="006D2B44"/>
    <w:rsid w:val="006D2C01"/>
    <w:rsid w:val="006D2D51"/>
    <w:rsid w:val="006D38F0"/>
    <w:rsid w:val="006D3D41"/>
    <w:rsid w:val="006D40CB"/>
    <w:rsid w:val="006D4E4D"/>
    <w:rsid w:val="006D5547"/>
    <w:rsid w:val="006D5565"/>
    <w:rsid w:val="006D557E"/>
    <w:rsid w:val="006D580A"/>
    <w:rsid w:val="006D59FF"/>
    <w:rsid w:val="006D5A35"/>
    <w:rsid w:val="006D625B"/>
    <w:rsid w:val="006D68AD"/>
    <w:rsid w:val="006D696B"/>
    <w:rsid w:val="006D74D6"/>
    <w:rsid w:val="006D756E"/>
    <w:rsid w:val="006D78E5"/>
    <w:rsid w:val="006D7D59"/>
    <w:rsid w:val="006E0128"/>
    <w:rsid w:val="006E01B8"/>
    <w:rsid w:val="006E092D"/>
    <w:rsid w:val="006E0DD3"/>
    <w:rsid w:val="006E103F"/>
    <w:rsid w:val="006E125D"/>
    <w:rsid w:val="006E14CB"/>
    <w:rsid w:val="006E1618"/>
    <w:rsid w:val="006E18EB"/>
    <w:rsid w:val="006E1900"/>
    <w:rsid w:val="006E1972"/>
    <w:rsid w:val="006E1A4C"/>
    <w:rsid w:val="006E1E11"/>
    <w:rsid w:val="006E20EB"/>
    <w:rsid w:val="006E2447"/>
    <w:rsid w:val="006E2754"/>
    <w:rsid w:val="006E29F5"/>
    <w:rsid w:val="006E2B4F"/>
    <w:rsid w:val="006E30AD"/>
    <w:rsid w:val="006E3433"/>
    <w:rsid w:val="006E3DD9"/>
    <w:rsid w:val="006E3F6C"/>
    <w:rsid w:val="006E3F77"/>
    <w:rsid w:val="006E450A"/>
    <w:rsid w:val="006E47E3"/>
    <w:rsid w:val="006E492B"/>
    <w:rsid w:val="006E4E0A"/>
    <w:rsid w:val="006E4ED1"/>
    <w:rsid w:val="006E591F"/>
    <w:rsid w:val="006E5E7B"/>
    <w:rsid w:val="006E5EEC"/>
    <w:rsid w:val="006E5F69"/>
    <w:rsid w:val="006E6929"/>
    <w:rsid w:val="006E6B7C"/>
    <w:rsid w:val="006E7A1B"/>
    <w:rsid w:val="006E7A99"/>
    <w:rsid w:val="006E7B29"/>
    <w:rsid w:val="006E7FAA"/>
    <w:rsid w:val="006F066E"/>
    <w:rsid w:val="006F067E"/>
    <w:rsid w:val="006F1071"/>
    <w:rsid w:val="006F1311"/>
    <w:rsid w:val="006F1627"/>
    <w:rsid w:val="006F21C6"/>
    <w:rsid w:val="006F22AB"/>
    <w:rsid w:val="006F243D"/>
    <w:rsid w:val="006F24F0"/>
    <w:rsid w:val="006F25CD"/>
    <w:rsid w:val="006F2A41"/>
    <w:rsid w:val="006F2BAE"/>
    <w:rsid w:val="006F2C72"/>
    <w:rsid w:val="006F31A3"/>
    <w:rsid w:val="006F3BB4"/>
    <w:rsid w:val="006F3C36"/>
    <w:rsid w:val="006F3DDC"/>
    <w:rsid w:val="006F3EFD"/>
    <w:rsid w:val="006F3F26"/>
    <w:rsid w:val="006F4589"/>
    <w:rsid w:val="006F4722"/>
    <w:rsid w:val="006F4B8E"/>
    <w:rsid w:val="006F4BC5"/>
    <w:rsid w:val="006F5271"/>
    <w:rsid w:val="006F56C3"/>
    <w:rsid w:val="006F5A6F"/>
    <w:rsid w:val="006F5A80"/>
    <w:rsid w:val="006F5B3D"/>
    <w:rsid w:val="006F5D25"/>
    <w:rsid w:val="006F5E47"/>
    <w:rsid w:val="006F62E1"/>
    <w:rsid w:val="006F6306"/>
    <w:rsid w:val="006F65E4"/>
    <w:rsid w:val="006F6665"/>
    <w:rsid w:val="006F6C43"/>
    <w:rsid w:val="006F6C7E"/>
    <w:rsid w:val="006F6ED7"/>
    <w:rsid w:val="006F775E"/>
    <w:rsid w:val="006F78A0"/>
    <w:rsid w:val="006F7933"/>
    <w:rsid w:val="007000E9"/>
    <w:rsid w:val="007005FA"/>
    <w:rsid w:val="00701010"/>
    <w:rsid w:val="007011D0"/>
    <w:rsid w:val="00701345"/>
    <w:rsid w:val="007018D1"/>
    <w:rsid w:val="00701A60"/>
    <w:rsid w:val="007025FC"/>
    <w:rsid w:val="007028D5"/>
    <w:rsid w:val="00702B49"/>
    <w:rsid w:val="00702B9F"/>
    <w:rsid w:val="00702CB0"/>
    <w:rsid w:val="0070314D"/>
    <w:rsid w:val="00703CE2"/>
    <w:rsid w:val="00704063"/>
    <w:rsid w:val="0070420F"/>
    <w:rsid w:val="007042B1"/>
    <w:rsid w:val="00704307"/>
    <w:rsid w:val="00704340"/>
    <w:rsid w:val="00704CE6"/>
    <w:rsid w:val="0070505D"/>
    <w:rsid w:val="0070533E"/>
    <w:rsid w:val="007054B6"/>
    <w:rsid w:val="00705562"/>
    <w:rsid w:val="007055A1"/>
    <w:rsid w:val="00705A49"/>
    <w:rsid w:val="00705B23"/>
    <w:rsid w:val="00705BF8"/>
    <w:rsid w:val="00705C2D"/>
    <w:rsid w:val="00705D5D"/>
    <w:rsid w:val="00705D80"/>
    <w:rsid w:val="00705DBE"/>
    <w:rsid w:val="0070647A"/>
    <w:rsid w:val="00706942"/>
    <w:rsid w:val="00706B13"/>
    <w:rsid w:val="007072AC"/>
    <w:rsid w:val="0070732F"/>
    <w:rsid w:val="0070795D"/>
    <w:rsid w:val="007103E5"/>
    <w:rsid w:val="00710580"/>
    <w:rsid w:val="007106B0"/>
    <w:rsid w:val="007106CD"/>
    <w:rsid w:val="00710ADE"/>
    <w:rsid w:val="00710CED"/>
    <w:rsid w:val="00710E13"/>
    <w:rsid w:val="00710EB9"/>
    <w:rsid w:val="0071109E"/>
    <w:rsid w:val="00711C13"/>
    <w:rsid w:val="007120A3"/>
    <w:rsid w:val="00712713"/>
    <w:rsid w:val="00712D92"/>
    <w:rsid w:val="00712F50"/>
    <w:rsid w:val="0071304F"/>
    <w:rsid w:val="0071309D"/>
    <w:rsid w:val="0071325D"/>
    <w:rsid w:val="00713D7C"/>
    <w:rsid w:val="00714988"/>
    <w:rsid w:val="00714F45"/>
    <w:rsid w:val="00715098"/>
    <w:rsid w:val="00715674"/>
    <w:rsid w:val="00715701"/>
    <w:rsid w:val="00715753"/>
    <w:rsid w:val="00715BB2"/>
    <w:rsid w:val="00715CBC"/>
    <w:rsid w:val="0071628A"/>
    <w:rsid w:val="00716337"/>
    <w:rsid w:val="007168F0"/>
    <w:rsid w:val="00716908"/>
    <w:rsid w:val="00717012"/>
    <w:rsid w:val="0071745C"/>
    <w:rsid w:val="007174DB"/>
    <w:rsid w:val="00717976"/>
    <w:rsid w:val="00717FB8"/>
    <w:rsid w:val="007212DE"/>
    <w:rsid w:val="007215B8"/>
    <w:rsid w:val="007216D1"/>
    <w:rsid w:val="007217A0"/>
    <w:rsid w:val="007219B8"/>
    <w:rsid w:val="007225FF"/>
    <w:rsid w:val="00722A9B"/>
    <w:rsid w:val="00722B79"/>
    <w:rsid w:val="00722E4B"/>
    <w:rsid w:val="0072327D"/>
    <w:rsid w:val="00723298"/>
    <w:rsid w:val="00723CC7"/>
    <w:rsid w:val="00723E55"/>
    <w:rsid w:val="00724203"/>
    <w:rsid w:val="007244CD"/>
    <w:rsid w:val="0072476E"/>
    <w:rsid w:val="007247C2"/>
    <w:rsid w:val="007248C8"/>
    <w:rsid w:val="00724FEE"/>
    <w:rsid w:val="00725655"/>
    <w:rsid w:val="00726905"/>
    <w:rsid w:val="00726A5D"/>
    <w:rsid w:val="007270BD"/>
    <w:rsid w:val="00727AA9"/>
    <w:rsid w:val="00727E7D"/>
    <w:rsid w:val="00730227"/>
    <w:rsid w:val="0073136C"/>
    <w:rsid w:val="00731607"/>
    <w:rsid w:val="007316BA"/>
    <w:rsid w:val="0073195C"/>
    <w:rsid w:val="007319A5"/>
    <w:rsid w:val="007320BE"/>
    <w:rsid w:val="007324D6"/>
    <w:rsid w:val="00732660"/>
    <w:rsid w:val="00732A52"/>
    <w:rsid w:val="00732C8E"/>
    <w:rsid w:val="00733354"/>
    <w:rsid w:val="00733410"/>
    <w:rsid w:val="007337BE"/>
    <w:rsid w:val="00734212"/>
    <w:rsid w:val="007342BD"/>
    <w:rsid w:val="00734698"/>
    <w:rsid w:val="007348B2"/>
    <w:rsid w:val="00734CEB"/>
    <w:rsid w:val="007355A1"/>
    <w:rsid w:val="00735815"/>
    <w:rsid w:val="00735CC2"/>
    <w:rsid w:val="00735EAF"/>
    <w:rsid w:val="0073643C"/>
    <w:rsid w:val="00736538"/>
    <w:rsid w:val="007369A2"/>
    <w:rsid w:val="00737360"/>
    <w:rsid w:val="0073755E"/>
    <w:rsid w:val="00737B79"/>
    <w:rsid w:val="00737D61"/>
    <w:rsid w:val="00740002"/>
    <w:rsid w:val="00740A1E"/>
    <w:rsid w:val="00740FB8"/>
    <w:rsid w:val="0074127B"/>
    <w:rsid w:val="00741866"/>
    <w:rsid w:val="00741922"/>
    <w:rsid w:val="00741BE0"/>
    <w:rsid w:val="00741F0F"/>
    <w:rsid w:val="00742079"/>
    <w:rsid w:val="00742306"/>
    <w:rsid w:val="0074243B"/>
    <w:rsid w:val="007427C2"/>
    <w:rsid w:val="00742E63"/>
    <w:rsid w:val="00742ED6"/>
    <w:rsid w:val="0074353E"/>
    <w:rsid w:val="00743584"/>
    <w:rsid w:val="00743D3C"/>
    <w:rsid w:val="00744087"/>
    <w:rsid w:val="007441E3"/>
    <w:rsid w:val="00744443"/>
    <w:rsid w:val="0074451D"/>
    <w:rsid w:val="00744874"/>
    <w:rsid w:val="0074530D"/>
    <w:rsid w:val="00745B22"/>
    <w:rsid w:val="00745FF3"/>
    <w:rsid w:val="00746018"/>
    <w:rsid w:val="00746059"/>
    <w:rsid w:val="0074608F"/>
    <w:rsid w:val="0074615B"/>
    <w:rsid w:val="00746470"/>
    <w:rsid w:val="00746869"/>
    <w:rsid w:val="00746967"/>
    <w:rsid w:val="00746C79"/>
    <w:rsid w:val="00746D6D"/>
    <w:rsid w:val="007472F4"/>
    <w:rsid w:val="007473EC"/>
    <w:rsid w:val="00747D80"/>
    <w:rsid w:val="00747DBF"/>
    <w:rsid w:val="00747ECD"/>
    <w:rsid w:val="00747EE7"/>
    <w:rsid w:val="00747FC6"/>
    <w:rsid w:val="00750094"/>
    <w:rsid w:val="00750E97"/>
    <w:rsid w:val="00751154"/>
    <w:rsid w:val="0075142B"/>
    <w:rsid w:val="0075153F"/>
    <w:rsid w:val="007516C3"/>
    <w:rsid w:val="00751B32"/>
    <w:rsid w:val="007520A2"/>
    <w:rsid w:val="00752178"/>
    <w:rsid w:val="007527FA"/>
    <w:rsid w:val="007530F4"/>
    <w:rsid w:val="00753497"/>
    <w:rsid w:val="00753591"/>
    <w:rsid w:val="007535FD"/>
    <w:rsid w:val="0075362E"/>
    <w:rsid w:val="0075414D"/>
    <w:rsid w:val="007543D6"/>
    <w:rsid w:val="00754436"/>
    <w:rsid w:val="007547EA"/>
    <w:rsid w:val="00754C87"/>
    <w:rsid w:val="00755107"/>
    <w:rsid w:val="00755117"/>
    <w:rsid w:val="0075517C"/>
    <w:rsid w:val="0075566F"/>
    <w:rsid w:val="00755A47"/>
    <w:rsid w:val="00755F44"/>
    <w:rsid w:val="0075611D"/>
    <w:rsid w:val="007568AB"/>
    <w:rsid w:val="007568DA"/>
    <w:rsid w:val="0075706C"/>
    <w:rsid w:val="00757112"/>
    <w:rsid w:val="007574E6"/>
    <w:rsid w:val="007600D1"/>
    <w:rsid w:val="00760710"/>
    <w:rsid w:val="007612B0"/>
    <w:rsid w:val="00761569"/>
    <w:rsid w:val="00761AE6"/>
    <w:rsid w:val="00761D63"/>
    <w:rsid w:val="0076228C"/>
    <w:rsid w:val="007624B9"/>
    <w:rsid w:val="00762AEB"/>
    <w:rsid w:val="00763BDD"/>
    <w:rsid w:val="00763E6A"/>
    <w:rsid w:val="00763EB7"/>
    <w:rsid w:val="00763F9C"/>
    <w:rsid w:val="007641CB"/>
    <w:rsid w:val="007643A3"/>
    <w:rsid w:val="00764A6D"/>
    <w:rsid w:val="00764B8C"/>
    <w:rsid w:val="00765560"/>
    <w:rsid w:val="0076559A"/>
    <w:rsid w:val="00765B18"/>
    <w:rsid w:val="00765F67"/>
    <w:rsid w:val="0076622D"/>
    <w:rsid w:val="00766D8A"/>
    <w:rsid w:val="00766E7B"/>
    <w:rsid w:val="00766F14"/>
    <w:rsid w:val="00766F92"/>
    <w:rsid w:val="00767436"/>
    <w:rsid w:val="00767446"/>
    <w:rsid w:val="007676B3"/>
    <w:rsid w:val="00770067"/>
    <w:rsid w:val="00770A26"/>
    <w:rsid w:val="00771256"/>
    <w:rsid w:val="00771371"/>
    <w:rsid w:val="0077158E"/>
    <w:rsid w:val="00771659"/>
    <w:rsid w:val="0077166B"/>
    <w:rsid w:val="00771F80"/>
    <w:rsid w:val="00771FD6"/>
    <w:rsid w:val="00771FFA"/>
    <w:rsid w:val="00772197"/>
    <w:rsid w:val="00772978"/>
    <w:rsid w:val="00772A79"/>
    <w:rsid w:val="00772AA9"/>
    <w:rsid w:val="00772D21"/>
    <w:rsid w:val="00773157"/>
    <w:rsid w:val="00773C32"/>
    <w:rsid w:val="00774091"/>
    <w:rsid w:val="00774226"/>
    <w:rsid w:val="0077432A"/>
    <w:rsid w:val="00774598"/>
    <w:rsid w:val="00774973"/>
    <w:rsid w:val="00774B1C"/>
    <w:rsid w:val="00774EB6"/>
    <w:rsid w:val="007751BC"/>
    <w:rsid w:val="00775384"/>
    <w:rsid w:val="007753CA"/>
    <w:rsid w:val="007755CD"/>
    <w:rsid w:val="007758C2"/>
    <w:rsid w:val="00775C43"/>
    <w:rsid w:val="00775E3A"/>
    <w:rsid w:val="00775E6D"/>
    <w:rsid w:val="007761BE"/>
    <w:rsid w:val="00776E3B"/>
    <w:rsid w:val="00776EAB"/>
    <w:rsid w:val="0077734B"/>
    <w:rsid w:val="007775D9"/>
    <w:rsid w:val="0077775E"/>
    <w:rsid w:val="00777ACA"/>
    <w:rsid w:val="00777DC3"/>
    <w:rsid w:val="0078028C"/>
    <w:rsid w:val="00780AD3"/>
    <w:rsid w:val="007818BE"/>
    <w:rsid w:val="00781A4E"/>
    <w:rsid w:val="0078241A"/>
    <w:rsid w:val="0078256F"/>
    <w:rsid w:val="007827F1"/>
    <w:rsid w:val="0078288A"/>
    <w:rsid w:val="00782B35"/>
    <w:rsid w:val="00782C79"/>
    <w:rsid w:val="00782DC5"/>
    <w:rsid w:val="00783228"/>
    <w:rsid w:val="007834D9"/>
    <w:rsid w:val="0078369A"/>
    <w:rsid w:val="00783720"/>
    <w:rsid w:val="00783903"/>
    <w:rsid w:val="00784122"/>
    <w:rsid w:val="00784678"/>
    <w:rsid w:val="00784CBC"/>
    <w:rsid w:val="00784E75"/>
    <w:rsid w:val="007851FE"/>
    <w:rsid w:val="007854E6"/>
    <w:rsid w:val="0078696A"/>
    <w:rsid w:val="007871AD"/>
    <w:rsid w:val="0078752C"/>
    <w:rsid w:val="00790B4E"/>
    <w:rsid w:val="00790C3F"/>
    <w:rsid w:val="00790FDA"/>
    <w:rsid w:val="007911B5"/>
    <w:rsid w:val="0079154A"/>
    <w:rsid w:val="00791AC6"/>
    <w:rsid w:val="00791D6E"/>
    <w:rsid w:val="00792FC5"/>
    <w:rsid w:val="007933C3"/>
    <w:rsid w:val="00793B0F"/>
    <w:rsid w:val="00793B3F"/>
    <w:rsid w:val="00794287"/>
    <w:rsid w:val="007942E2"/>
    <w:rsid w:val="00794669"/>
    <w:rsid w:val="007949FD"/>
    <w:rsid w:val="00794ACB"/>
    <w:rsid w:val="00794CC6"/>
    <w:rsid w:val="00794D06"/>
    <w:rsid w:val="00794F41"/>
    <w:rsid w:val="00795180"/>
    <w:rsid w:val="007963CE"/>
    <w:rsid w:val="00796532"/>
    <w:rsid w:val="00796B06"/>
    <w:rsid w:val="00796C33"/>
    <w:rsid w:val="007976EF"/>
    <w:rsid w:val="007977EB"/>
    <w:rsid w:val="007978CC"/>
    <w:rsid w:val="00797E51"/>
    <w:rsid w:val="007A00EB"/>
    <w:rsid w:val="007A0252"/>
    <w:rsid w:val="007A03B3"/>
    <w:rsid w:val="007A057B"/>
    <w:rsid w:val="007A0649"/>
    <w:rsid w:val="007A1667"/>
    <w:rsid w:val="007A179D"/>
    <w:rsid w:val="007A262D"/>
    <w:rsid w:val="007A3055"/>
    <w:rsid w:val="007A349A"/>
    <w:rsid w:val="007A3839"/>
    <w:rsid w:val="007A3D61"/>
    <w:rsid w:val="007A3EFC"/>
    <w:rsid w:val="007A4245"/>
    <w:rsid w:val="007A499A"/>
    <w:rsid w:val="007A59BB"/>
    <w:rsid w:val="007A6009"/>
    <w:rsid w:val="007A618B"/>
    <w:rsid w:val="007A6AAF"/>
    <w:rsid w:val="007A6B00"/>
    <w:rsid w:val="007A6D63"/>
    <w:rsid w:val="007A71FE"/>
    <w:rsid w:val="007A79E0"/>
    <w:rsid w:val="007B00BD"/>
    <w:rsid w:val="007B0FC9"/>
    <w:rsid w:val="007B146C"/>
    <w:rsid w:val="007B14CA"/>
    <w:rsid w:val="007B15AD"/>
    <w:rsid w:val="007B16A0"/>
    <w:rsid w:val="007B16F5"/>
    <w:rsid w:val="007B17D6"/>
    <w:rsid w:val="007B1932"/>
    <w:rsid w:val="007B28EF"/>
    <w:rsid w:val="007B2A00"/>
    <w:rsid w:val="007B31F2"/>
    <w:rsid w:val="007B37A2"/>
    <w:rsid w:val="007B3ADD"/>
    <w:rsid w:val="007B3C82"/>
    <w:rsid w:val="007B3F00"/>
    <w:rsid w:val="007B3F5E"/>
    <w:rsid w:val="007B47DF"/>
    <w:rsid w:val="007B4B1E"/>
    <w:rsid w:val="007B5934"/>
    <w:rsid w:val="007B5C1E"/>
    <w:rsid w:val="007B5EB0"/>
    <w:rsid w:val="007B5F8B"/>
    <w:rsid w:val="007B601B"/>
    <w:rsid w:val="007B6443"/>
    <w:rsid w:val="007B6594"/>
    <w:rsid w:val="007B6D9C"/>
    <w:rsid w:val="007B6FA2"/>
    <w:rsid w:val="007B7654"/>
    <w:rsid w:val="007C038C"/>
    <w:rsid w:val="007C03D5"/>
    <w:rsid w:val="007C0982"/>
    <w:rsid w:val="007C0B3A"/>
    <w:rsid w:val="007C0E7F"/>
    <w:rsid w:val="007C0E87"/>
    <w:rsid w:val="007C1170"/>
    <w:rsid w:val="007C18C0"/>
    <w:rsid w:val="007C1A4E"/>
    <w:rsid w:val="007C20CA"/>
    <w:rsid w:val="007C2266"/>
    <w:rsid w:val="007C2456"/>
    <w:rsid w:val="007C285B"/>
    <w:rsid w:val="007C29EF"/>
    <w:rsid w:val="007C2B15"/>
    <w:rsid w:val="007C2CCC"/>
    <w:rsid w:val="007C2DB5"/>
    <w:rsid w:val="007C2DD1"/>
    <w:rsid w:val="007C2E40"/>
    <w:rsid w:val="007C2E5B"/>
    <w:rsid w:val="007C328C"/>
    <w:rsid w:val="007C3C26"/>
    <w:rsid w:val="007C3D92"/>
    <w:rsid w:val="007C3ECA"/>
    <w:rsid w:val="007C4158"/>
    <w:rsid w:val="007C4E2B"/>
    <w:rsid w:val="007C502C"/>
    <w:rsid w:val="007C5B24"/>
    <w:rsid w:val="007C5CD0"/>
    <w:rsid w:val="007C6068"/>
    <w:rsid w:val="007C60AE"/>
    <w:rsid w:val="007C635E"/>
    <w:rsid w:val="007C6529"/>
    <w:rsid w:val="007C67C3"/>
    <w:rsid w:val="007C6D08"/>
    <w:rsid w:val="007C7194"/>
    <w:rsid w:val="007C7252"/>
    <w:rsid w:val="007C76A9"/>
    <w:rsid w:val="007C7D13"/>
    <w:rsid w:val="007D016C"/>
    <w:rsid w:val="007D0324"/>
    <w:rsid w:val="007D06D6"/>
    <w:rsid w:val="007D085B"/>
    <w:rsid w:val="007D0893"/>
    <w:rsid w:val="007D120F"/>
    <w:rsid w:val="007D14B5"/>
    <w:rsid w:val="007D18F2"/>
    <w:rsid w:val="007D1D50"/>
    <w:rsid w:val="007D2059"/>
    <w:rsid w:val="007D24B2"/>
    <w:rsid w:val="007D269C"/>
    <w:rsid w:val="007D2C6D"/>
    <w:rsid w:val="007D3535"/>
    <w:rsid w:val="007D398E"/>
    <w:rsid w:val="007D3BF9"/>
    <w:rsid w:val="007D4ABD"/>
    <w:rsid w:val="007D4B8F"/>
    <w:rsid w:val="007D4D35"/>
    <w:rsid w:val="007D4DEF"/>
    <w:rsid w:val="007D4FC1"/>
    <w:rsid w:val="007D5209"/>
    <w:rsid w:val="007D5268"/>
    <w:rsid w:val="007D5CD6"/>
    <w:rsid w:val="007D5DEC"/>
    <w:rsid w:val="007D5FA7"/>
    <w:rsid w:val="007D5FF8"/>
    <w:rsid w:val="007D63E8"/>
    <w:rsid w:val="007D6445"/>
    <w:rsid w:val="007D6B7F"/>
    <w:rsid w:val="007D7076"/>
    <w:rsid w:val="007D7092"/>
    <w:rsid w:val="007D70A5"/>
    <w:rsid w:val="007D796D"/>
    <w:rsid w:val="007D79B0"/>
    <w:rsid w:val="007E0497"/>
    <w:rsid w:val="007E052C"/>
    <w:rsid w:val="007E07F6"/>
    <w:rsid w:val="007E0BAE"/>
    <w:rsid w:val="007E0F8F"/>
    <w:rsid w:val="007E1206"/>
    <w:rsid w:val="007E143D"/>
    <w:rsid w:val="007E19DA"/>
    <w:rsid w:val="007E294D"/>
    <w:rsid w:val="007E2A1E"/>
    <w:rsid w:val="007E2C5E"/>
    <w:rsid w:val="007E2F80"/>
    <w:rsid w:val="007E3962"/>
    <w:rsid w:val="007E3A50"/>
    <w:rsid w:val="007E4230"/>
    <w:rsid w:val="007E43AF"/>
    <w:rsid w:val="007E4A00"/>
    <w:rsid w:val="007E4F93"/>
    <w:rsid w:val="007E512A"/>
    <w:rsid w:val="007E5288"/>
    <w:rsid w:val="007E5306"/>
    <w:rsid w:val="007E54A6"/>
    <w:rsid w:val="007E5FDB"/>
    <w:rsid w:val="007E6082"/>
    <w:rsid w:val="007E6220"/>
    <w:rsid w:val="007E6768"/>
    <w:rsid w:val="007E7230"/>
    <w:rsid w:val="007E7A22"/>
    <w:rsid w:val="007E7B9B"/>
    <w:rsid w:val="007E7BCD"/>
    <w:rsid w:val="007E7C5F"/>
    <w:rsid w:val="007F0163"/>
    <w:rsid w:val="007F025F"/>
    <w:rsid w:val="007F053E"/>
    <w:rsid w:val="007F0608"/>
    <w:rsid w:val="007F14FA"/>
    <w:rsid w:val="007F197F"/>
    <w:rsid w:val="007F19E4"/>
    <w:rsid w:val="007F1E5E"/>
    <w:rsid w:val="007F1FEC"/>
    <w:rsid w:val="007F22FF"/>
    <w:rsid w:val="007F2846"/>
    <w:rsid w:val="007F305D"/>
    <w:rsid w:val="007F330C"/>
    <w:rsid w:val="007F34E6"/>
    <w:rsid w:val="007F38AA"/>
    <w:rsid w:val="007F3958"/>
    <w:rsid w:val="007F3F58"/>
    <w:rsid w:val="007F3F65"/>
    <w:rsid w:val="007F3F98"/>
    <w:rsid w:val="007F47EB"/>
    <w:rsid w:val="007F4A8C"/>
    <w:rsid w:val="007F4B1A"/>
    <w:rsid w:val="007F4FF3"/>
    <w:rsid w:val="007F4FFF"/>
    <w:rsid w:val="007F5B15"/>
    <w:rsid w:val="007F6109"/>
    <w:rsid w:val="007F625D"/>
    <w:rsid w:val="007F68DE"/>
    <w:rsid w:val="007F6F11"/>
    <w:rsid w:val="007F79E8"/>
    <w:rsid w:val="007F7A3F"/>
    <w:rsid w:val="008008AE"/>
    <w:rsid w:val="00800AB0"/>
    <w:rsid w:val="0080108B"/>
    <w:rsid w:val="00801161"/>
    <w:rsid w:val="00802130"/>
    <w:rsid w:val="008023B8"/>
    <w:rsid w:val="00802447"/>
    <w:rsid w:val="008024DE"/>
    <w:rsid w:val="008027EE"/>
    <w:rsid w:val="0080287F"/>
    <w:rsid w:val="008031EB"/>
    <w:rsid w:val="00803237"/>
    <w:rsid w:val="0080364E"/>
    <w:rsid w:val="00803654"/>
    <w:rsid w:val="008038E4"/>
    <w:rsid w:val="00803FB8"/>
    <w:rsid w:val="00804275"/>
    <w:rsid w:val="00804325"/>
    <w:rsid w:val="008043E8"/>
    <w:rsid w:val="0080456E"/>
    <w:rsid w:val="00804C51"/>
    <w:rsid w:val="00804CCC"/>
    <w:rsid w:val="00804D47"/>
    <w:rsid w:val="0080566F"/>
    <w:rsid w:val="00805721"/>
    <w:rsid w:val="00805B88"/>
    <w:rsid w:val="00805D57"/>
    <w:rsid w:val="008061F0"/>
    <w:rsid w:val="00806A82"/>
    <w:rsid w:val="00806C92"/>
    <w:rsid w:val="00806DCD"/>
    <w:rsid w:val="00807174"/>
    <w:rsid w:val="008074E5"/>
    <w:rsid w:val="00807995"/>
    <w:rsid w:val="00807C8B"/>
    <w:rsid w:val="00807FFA"/>
    <w:rsid w:val="008106A5"/>
    <w:rsid w:val="00810ECE"/>
    <w:rsid w:val="00811242"/>
    <w:rsid w:val="00811601"/>
    <w:rsid w:val="008117BC"/>
    <w:rsid w:val="00811B40"/>
    <w:rsid w:val="00812216"/>
    <w:rsid w:val="008123ED"/>
    <w:rsid w:val="0081277E"/>
    <w:rsid w:val="008127EC"/>
    <w:rsid w:val="00812DB4"/>
    <w:rsid w:val="00812EE3"/>
    <w:rsid w:val="008130ED"/>
    <w:rsid w:val="00813269"/>
    <w:rsid w:val="00813904"/>
    <w:rsid w:val="00813B08"/>
    <w:rsid w:val="00814290"/>
    <w:rsid w:val="0081436C"/>
    <w:rsid w:val="008145C5"/>
    <w:rsid w:val="00814A3E"/>
    <w:rsid w:val="00814CC1"/>
    <w:rsid w:val="008158CD"/>
    <w:rsid w:val="0081595E"/>
    <w:rsid w:val="00815AFD"/>
    <w:rsid w:val="00816016"/>
    <w:rsid w:val="0081607A"/>
    <w:rsid w:val="0081640C"/>
    <w:rsid w:val="008165A1"/>
    <w:rsid w:val="00816D89"/>
    <w:rsid w:val="00817066"/>
    <w:rsid w:val="00817C52"/>
    <w:rsid w:val="00817F27"/>
    <w:rsid w:val="0082005E"/>
    <w:rsid w:val="00820443"/>
    <w:rsid w:val="0082077D"/>
    <w:rsid w:val="00820BC8"/>
    <w:rsid w:val="00820CBE"/>
    <w:rsid w:val="00820DE4"/>
    <w:rsid w:val="00821B24"/>
    <w:rsid w:val="00822483"/>
    <w:rsid w:val="008224D9"/>
    <w:rsid w:val="00822816"/>
    <w:rsid w:val="00822863"/>
    <w:rsid w:val="0082293C"/>
    <w:rsid w:val="008236B2"/>
    <w:rsid w:val="00823EDA"/>
    <w:rsid w:val="00824D89"/>
    <w:rsid w:val="00825DB7"/>
    <w:rsid w:val="008263F0"/>
    <w:rsid w:val="0082646D"/>
    <w:rsid w:val="00826740"/>
    <w:rsid w:val="008267AE"/>
    <w:rsid w:val="00826857"/>
    <w:rsid w:val="0083061C"/>
    <w:rsid w:val="00830BBE"/>
    <w:rsid w:val="00830DEC"/>
    <w:rsid w:val="00831298"/>
    <w:rsid w:val="008312A3"/>
    <w:rsid w:val="00831631"/>
    <w:rsid w:val="00831801"/>
    <w:rsid w:val="00831CEC"/>
    <w:rsid w:val="00832005"/>
    <w:rsid w:val="00832224"/>
    <w:rsid w:val="008325E7"/>
    <w:rsid w:val="00832AE6"/>
    <w:rsid w:val="00832B43"/>
    <w:rsid w:val="00833619"/>
    <w:rsid w:val="00833928"/>
    <w:rsid w:val="00833D4F"/>
    <w:rsid w:val="00833E4D"/>
    <w:rsid w:val="00834A59"/>
    <w:rsid w:val="00834BA6"/>
    <w:rsid w:val="00835A9A"/>
    <w:rsid w:val="00835BA7"/>
    <w:rsid w:val="00835D28"/>
    <w:rsid w:val="00836231"/>
    <w:rsid w:val="00836450"/>
    <w:rsid w:val="0083652E"/>
    <w:rsid w:val="00836556"/>
    <w:rsid w:val="008369DB"/>
    <w:rsid w:val="00836FB3"/>
    <w:rsid w:val="00837318"/>
    <w:rsid w:val="00837376"/>
    <w:rsid w:val="0083759E"/>
    <w:rsid w:val="00837603"/>
    <w:rsid w:val="00837870"/>
    <w:rsid w:val="00837909"/>
    <w:rsid w:val="0084046D"/>
    <w:rsid w:val="008404B0"/>
    <w:rsid w:val="0084053B"/>
    <w:rsid w:val="0084058E"/>
    <w:rsid w:val="00840614"/>
    <w:rsid w:val="00840F25"/>
    <w:rsid w:val="0084192A"/>
    <w:rsid w:val="00841DD2"/>
    <w:rsid w:val="00842238"/>
    <w:rsid w:val="00842279"/>
    <w:rsid w:val="00842681"/>
    <w:rsid w:val="00842785"/>
    <w:rsid w:val="00842850"/>
    <w:rsid w:val="00842D59"/>
    <w:rsid w:val="00842F06"/>
    <w:rsid w:val="0084306A"/>
    <w:rsid w:val="00843935"/>
    <w:rsid w:val="00843A75"/>
    <w:rsid w:val="008446C9"/>
    <w:rsid w:val="0084478B"/>
    <w:rsid w:val="0084554D"/>
    <w:rsid w:val="00845654"/>
    <w:rsid w:val="00845B2A"/>
    <w:rsid w:val="00845D7C"/>
    <w:rsid w:val="00846821"/>
    <w:rsid w:val="00846852"/>
    <w:rsid w:val="008469D3"/>
    <w:rsid w:val="00847549"/>
    <w:rsid w:val="008504FD"/>
    <w:rsid w:val="00850CD6"/>
    <w:rsid w:val="0085133E"/>
    <w:rsid w:val="008517F6"/>
    <w:rsid w:val="0085199B"/>
    <w:rsid w:val="00851F1B"/>
    <w:rsid w:val="008522FF"/>
    <w:rsid w:val="0085277D"/>
    <w:rsid w:val="00852E88"/>
    <w:rsid w:val="00852FCC"/>
    <w:rsid w:val="00853424"/>
    <w:rsid w:val="00853664"/>
    <w:rsid w:val="00853695"/>
    <w:rsid w:val="00853AF2"/>
    <w:rsid w:val="00853BE7"/>
    <w:rsid w:val="00853CF2"/>
    <w:rsid w:val="0085458E"/>
    <w:rsid w:val="0085475D"/>
    <w:rsid w:val="0085485D"/>
    <w:rsid w:val="00854C64"/>
    <w:rsid w:val="00854DCB"/>
    <w:rsid w:val="00854E1A"/>
    <w:rsid w:val="00855054"/>
    <w:rsid w:val="0085543F"/>
    <w:rsid w:val="0085565B"/>
    <w:rsid w:val="00855AFE"/>
    <w:rsid w:val="00855C08"/>
    <w:rsid w:val="00856160"/>
    <w:rsid w:val="00856888"/>
    <w:rsid w:val="00857705"/>
    <w:rsid w:val="008578A8"/>
    <w:rsid w:val="0085792E"/>
    <w:rsid w:val="00857BE3"/>
    <w:rsid w:val="00857CFB"/>
    <w:rsid w:val="00857E80"/>
    <w:rsid w:val="00860025"/>
    <w:rsid w:val="0086007F"/>
    <w:rsid w:val="0086078A"/>
    <w:rsid w:val="008607AB"/>
    <w:rsid w:val="0086099B"/>
    <w:rsid w:val="00860F1D"/>
    <w:rsid w:val="00860F91"/>
    <w:rsid w:val="0086113F"/>
    <w:rsid w:val="00861259"/>
    <w:rsid w:val="008613D0"/>
    <w:rsid w:val="0086162B"/>
    <w:rsid w:val="008618E7"/>
    <w:rsid w:val="008619F8"/>
    <w:rsid w:val="00861A7B"/>
    <w:rsid w:val="008621AD"/>
    <w:rsid w:val="008625C8"/>
    <w:rsid w:val="00862720"/>
    <w:rsid w:val="0086308A"/>
    <w:rsid w:val="00863417"/>
    <w:rsid w:val="0086393E"/>
    <w:rsid w:val="0086395F"/>
    <w:rsid w:val="00863AF3"/>
    <w:rsid w:val="00864033"/>
    <w:rsid w:val="00864C58"/>
    <w:rsid w:val="00864FBE"/>
    <w:rsid w:val="0086528C"/>
    <w:rsid w:val="00865421"/>
    <w:rsid w:val="00865958"/>
    <w:rsid w:val="00865C2F"/>
    <w:rsid w:val="0086640F"/>
    <w:rsid w:val="00866646"/>
    <w:rsid w:val="008669AA"/>
    <w:rsid w:val="00866BC3"/>
    <w:rsid w:val="00866CCA"/>
    <w:rsid w:val="00866CE4"/>
    <w:rsid w:val="00867280"/>
    <w:rsid w:val="0086792C"/>
    <w:rsid w:val="00867E4D"/>
    <w:rsid w:val="00867F43"/>
    <w:rsid w:val="00867FD4"/>
    <w:rsid w:val="008700BD"/>
    <w:rsid w:val="008702D6"/>
    <w:rsid w:val="00870659"/>
    <w:rsid w:val="00870BB0"/>
    <w:rsid w:val="00870D87"/>
    <w:rsid w:val="00870DB2"/>
    <w:rsid w:val="00870DFB"/>
    <w:rsid w:val="00871224"/>
    <w:rsid w:val="00871429"/>
    <w:rsid w:val="0087162A"/>
    <w:rsid w:val="0087188B"/>
    <w:rsid w:val="00871A5F"/>
    <w:rsid w:val="00871BDB"/>
    <w:rsid w:val="0087270A"/>
    <w:rsid w:val="008729CD"/>
    <w:rsid w:val="00872F48"/>
    <w:rsid w:val="008737A4"/>
    <w:rsid w:val="00873949"/>
    <w:rsid w:val="008739C8"/>
    <w:rsid w:val="00873B64"/>
    <w:rsid w:val="008742BB"/>
    <w:rsid w:val="00874814"/>
    <w:rsid w:val="008748A5"/>
    <w:rsid w:val="00874920"/>
    <w:rsid w:val="008750B2"/>
    <w:rsid w:val="00875748"/>
    <w:rsid w:val="00875928"/>
    <w:rsid w:val="00875FA7"/>
    <w:rsid w:val="008760CA"/>
    <w:rsid w:val="008770CD"/>
    <w:rsid w:val="008775D3"/>
    <w:rsid w:val="008776E4"/>
    <w:rsid w:val="00877732"/>
    <w:rsid w:val="00877976"/>
    <w:rsid w:val="00877A35"/>
    <w:rsid w:val="00877C91"/>
    <w:rsid w:val="00877DEE"/>
    <w:rsid w:val="00880C13"/>
    <w:rsid w:val="00880D5B"/>
    <w:rsid w:val="008810A7"/>
    <w:rsid w:val="008813CC"/>
    <w:rsid w:val="008814C2"/>
    <w:rsid w:val="00881863"/>
    <w:rsid w:val="008818E0"/>
    <w:rsid w:val="00881BAC"/>
    <w:rsid w:val="00881DE8"/>
    <w:rsid w:val="00882156"/>
    <w:rsid w:val="008823B6"/>
    <w:rsid w:val="008829B9"/>
    <w:rsid w:val="00882A58"/>
    <w:rsid w:val="00882A85"/>
    <w:rsid w:val="00882BB2"/>
    <w:rsid w:val="00882F30"/>
    <w:rsid w:val="00883372"/>
    <w:rsid w:val="0088383C"/>
    <w:rsid w:val="00883DD7"/>
    <w:rsid w:val="008845B7"/>
    <w:rsid w:val="008846C7"/>
    <w:rsid w:val="0088491E"/>
    <w:rsid w:val="00884A80"/>
    <w:rsid w:val="00884C1E"/>
    <w:rsid w:val="00884C72"/>
    <w:rsid w:val="00884CB9"/>
    <w:rsid w:val="008855DD"/>
    <w:rsid w:val="00885CC5"/>
    <w:rsid w:val="00886CDE"/>
    <w:rsid w:val="008876A5"/>
    <w:rsid w:val="00890013"/>
    <w:rsid w:val="008901F7"/>
    <w:rsid w:val="00890588"/>
    <w:rsid w:val="008905F8"/>
    <w:rsid w:val="008909F9"/>
    <w:rsid w:val="00890E85"/>
    <w:rsid w:val="0089110E"/>
    <w:rsid w:val="0089114F"/>
    <w:rsid w:val="0089174F"/>
    <w:rsid w:val="00891CBA"/>
    <w:rsid w:val="00891E1C"/>
    <w:rsid w:val="00891FF4"/>
    <w:rsid w:val="00892878"/>
    <w:rsid w:val="00892AC5"/>
    <w:rsid w:val="00892DFB"/>
    <w:rsid w:val="00893044"/>
    <w:rsid w:val="00893490"/>
    <w:rsid w:val="00893830"/>
    <w:rsid w:val="00893DFC"/>
    <w:rsid w:val="00893E03"/>
    <w:rsid w:val="0089455B"/>
    <w:rsid w:val="008949D6"/>
    <w:rsid w:val="00894A58"/>
    <w:rsid w:val="00894FE1"/>
    <w:rsid w:val="008955A4"/>
    <w:rsid w:val="00895BD0"/>
    <w:rsid w:val="00895F5D"/>
    <w:rsid w:val="008967E0"/>
    <w:rsid w:val="008967E3"/>
    <w:rsid w:val="00896B64"/>
    <w:rsid w:val="00896CAF"/>
    <w:rsid w:val="00897018"/>
    <w:rsid w:val="00897407"/>
    <w:rsid w:val="0089772A"/>
    <w:rsid w:val="00897871"/>
    <w:rsid w:val="00897A67"/>
    <w:rsid w:val="00897C17"/>
    <w:rsid w:val="00897DB5"/>
    <w:rsid w:val="00897FCF"/>
    <w:rsid w:val="008A0596"/>
    <w:rsid w:val="008A0910"/>
    <w:rsid w:val="008A0B83"/>
    <w:rsid w:val="008A0BF6"/>
    <w:rsid w:val="008A0F37"/>
    <w:rsid w:val="008A14D3"/>
    <w:rsid w:val="008A18A2"/>
    <w:rsid w:val="008A19B8"/>
    <w:rsid w:val="008A1EBB"/>
    <w:rsid w:val="008A22D6"/>
    <w:rsid w:val="008A2718"/>
    <w:rsid w:val="008A33B8"/>
    <w:rsid w:val="008A33E7"/>
    <w:rsid w:val="008A3503"/>
    <w:rsid w:val="008A360F"/>
    <w:rsid w:val="008A3979"/>
    <w:rsid w:val="008A3B35"/>
    <w:rsid w:val="008A41A7"/>
    <w:rsid w:val="008A428A"/>
    <w:rsid w:val="008A43A6"/>
    <w:rsid w:val="008A49D4"/>
    <w:rsid w:val="008A4D76"/>
    <w:rsid w:val="008A5D81"/>
    <w:rsid w:val="008A6232"/>
    <w:rsid w:val="008A63AB"/>
    <w:rsid w:val="008A656D"/>
    <w:rsid w:val="008A6C7E"/>
    <w:rsid w:val="008A6F49"/>
    <w:rsid w:val="008A70F3"/>
    <w:rsid w:val="008A7C43"/>
    <w:rsid w:val="008A7C69"/>
    <w:rsid w:val="008B059A"/>
    <w:rsid w:val="008B0E82"/>
    <w:rsid w:val="008B0EBD"/>
    <w:rsid w:val="008B10D3"/>
    <w:rsid w:val="008B1384"/>
    <w:rsid w:val="008B1ECB"/>
    <w:rsid w:val="008B211A"/>
    <w:rsid w:val="008B2CA0"/>
    <w:rsid w:val="008B2ECC"/>
    <w:rsid w:val="008B2F2E"/>
    <w:rsid w:val="008B354F"/>
    <w:rsid w:val="008B369B"/>
    <w:rsid w:val="008B42BA"/>
    <w:rsid w:val="008B4959"/>
    <w:rsid w:val="008B4A13"/>
    <w:rsid w:val="008B4B08"/>
    <w:rsid w:val="008B4B59"/>
    <w:rsid w:val="008B4B99"/>
    <w:rsid w:val="008B4C77"/>
    <w:rsid w:val="008B50F1"/>
    <w:rsid w:val="008B54BF"/>
    <w:rsid w:val="008B592A"/>
    <w:rsid w:val="008B6F24"/>
    <w:rsid w:val="008B6F26"/>
    <w:rsid w:val="008B70F6"/>
    <w:rsid w:val="008B77AB"/>
    <w:rsid w:val="008C039F"/>
    <w:rsid w:val="008C03C9"/>
    <w:rsid w:val="008C0BE5"/>
    <w:rsid w:val="008C0DDF"/>
    <w:rsid w:val="008C10FD"/>
    <w:rsid w:val="008C1159"/>
    <w:rsid w:val="008C1230"/>
    <w:rsid w:val="008C197C"/>
    <w:rsid w:val="008C1AA4"/>
    <w:rsid w:val="008C1B3A"/>
    <w:rsid w:val="008C2014"/>
    <w:rsid w:val="008C21B1"/>
    <w:rsid w:val="008C3565"/>
    <w:rsid w:val="008C37C5"/>
    <w:rsid w:val="008C4533"/>
    <w:rsid w:val="008C4CC5"/>
    <w:rsid w:val="008C504D"/>
    <w:rsid w:val="008C59D2"/>
    <w:rsid w:val="008C63F0"/>
    <w:rsid w:val="008C645C"/>
    <w:rsid w:val="008C6506"/>
    <w:rsid w:val="008C6642"/>
    <w:rsid w:val="008C6A26"/>
    <w:rsid w:val="008C6BF6"/>
    <w:rsid w:val="008C6D5F"/>
    <w:rsid w:val="008C7170"/>
    <w:rsid w:val="008D00A9"/>
    <w:rsid w:val="008D0353"/>
    <w:rsid w:val="008D0BBE"/>
    <w:rsid w:val="008D1190"/>
    <w:rsid w:val="008D15EF"/>
    <w:rsid w:val="008D19EF"/>
    <w:rsid w:val="008D2A21"/>
    <w:rsid w:val="008D2B50"/>
    <w:rsid w:val="008D2F8B"/>
    <w:rsid w:val="008D324A"/>
    <w:rsid w:val="008D3434"/>
    <w:rsid w:val="008D3594"/>
    <w:rsid w:val="008D39C2"/>
    <w:rsid w:val="008D3C2D"/>
    <w:rsid w:val="008D3C71"/>
    <w:rsid w:val="008D3F82"/>
    <w:rsid w:val="008D4951"/>
    <w:rsid w:val="008D4988"/>
    <w:rsid w:val="008D4C55"/>
    <w:rsid w:val="008D4CF2"/>
    <w:rsid w:val="008D4E77"/>
    <w:rsid w:val="008D4F4A"/>
    <w:rsid w:val="008D518D"/>
    <w:rsid w:val="008D5404"/>
    <w:rsid w:val="008D54E3"/>
    <w:rsid w:val="008D5878"/>
    <w:rsid w:val="008D5C42"/>
    <w:rsid w:val="008D65B6"/>
    <w:rsid w:val="008D696D"/>
    <w:rsid w:val="008D6A27"/>
    <w:rsid w:val="008D6AA9"/>
    <w:rsid w:val="008D6D39"/>
    <w:rsid w:val="008D750B"/>
    <w:rsid w:val="008D752C"/>
    <w:rsid w:val="008D7711"/>
    <w:rsid w:val="008D7895"/>
    <w:rsid w:val="008D7999"/>
    <w:rsid w:val="008D7A7E"/>
    <w:rsid w:val="008D7A87"/>
    <w:rsid w:val="008D7DEC"/>
    <w:rsid w:val="008E005D"/>
    <w:rsid w:val="008E00B5"/>
    <w:rsid w:val="008E0498"/>
    <w:rsid w:val="008E0ECD"/>
    <w:rsid w:val="008E1529"/>
    <w:rsid w:val="008E1C57"/>
    <w:rsid w:val="008E1CA1"/>
    <w:rsid w:val="008E276D"/>
    <w:rsid w:val="008E2D85"/>
    <w:rsid w:val="008E2EC2"/>
    <w:rsid w:val="008E3366"/>
    <w:rsid w:val="008E3724"/>
    <w:rsid w:val="008E3D82"/>
    <w:rsid w:val="008E43C9"/>
    <w:rsid w:val="008E47D4"/>
    <w:rsid w:val="008E4988"/>
    <w:rsid w:val="008E49E9"/>
    <w:rsid w:val="008E49ED"/>
    <w:rsid w:val="008E4E64"/>
    <w:rsid w:val="008E4FCD"/>
    <w:rsid w:val="008E502F"/>
    <w:rsid w:val="008E52BB"/>
    <w:rsid w:val="008E553F"/>
    <w:rsid w:val="008E61A5"/>
    <w:rsid w:val="008E644A"/>
    <w:rsid w:val="008E6809"/>
    <w:rsid w:val="008E6C06"/>
    <w:rsid w:val="008E6EBA"/>
    <w:rsid w:val="008E6F09"/>
    <w:rsid w:val="008E70FA"/>
    <w:rsid w:val="008E716F"/>
    <w:rsid w:val="008E73A0"/>
    <w:rsid w:val="008E75DF"/>
    <w:rsid w:val="008E760C"/>
    <w:rsid w:val="008E781D"/>
    <w:rsid w:val="008E7FBB"/>
    <w:rsid w:val="008F0073"/>
    <w:rsid w:val="008F02B6"/>
    <w:rsid w:val="008F116A"/>
    <w:rsid w:val="008F121B"/>
    <w:rsid w:val="008F1264"/>
    <w:rsid w:val="008F1ADA"/>
    <w:rsid w:val="008F1DB0"/>
    <w:rsid w:val="008F1DCC"/>
    <w:rsid w:val="008F2112"/>
    <w:rsid w:val="008F2247"/>
    <w:rsid w:val="008F2729"/>
    <w:rsid w:val="008F287B"/>
    <w:rsid w:val="008F2A32"/>
    <w:rsid w:val="008F2E6A"/>
    <w:rsid w:val="008F30BB"/>
    <w:rsid w:val="008F32BF"/>
    <w:rsid w:val="008F32E7"/>
    <w:rsid w:val="008F3BD0"/>
    <w:rsid w:val="008F3CE3"/>
    <w:rsid w:val="008F3D48"/>
    <w:rsid w:val="008F432E"/>
    <w:rsid w:val="008F4E05"/>
    <w:rsid w:val="008F539F"/>
    <w:rsid w:val="008F543D"/>
    <w:rsid w:val="008F576A"/>
    <w:rsid w:val="008F5D71"/>
    <w:rsid w:val="008F616C"/>
    <w:rsid w:val="008F6254"/>
    <w:rsid w:val="008F632A"/>
    <w:rsid w:val="008F6848"/>
    <w:rsid w:val="008F6D82"/>
    <w:rsid w:val="008F7345"/>
    <w:rsid w:val="008F746A"/>
    <w:rsid w:val="008F77A0"/>
    <w:rsid w:val="008F7893"/>
    <w:rsid w:val="008F7CBC"/>
    <w:rsid w:val="008F7EA5"/>
    <w:rsid w:val="008F7FD3"/>
    <w:rsid w:val="00900858"/>
    <w:rsid w:val="00900C91"/>
    <w:rsid w:val="00901429"/>
    <w:rsid w:val="009018B0"/>
    <w:rsid w:val="00901957"/>
    <w:rsid w:val="00901C1B"/>
    <w:rsid w:val="00901CFE"/>
    <w:rsid w:val="00901FE8"/>
    <w:rsid w:val="009021EF"/>
    <w:rsid w:val="0090255C"/>
    <w:rsid w:val="009025AD"/>
    <w:rsid w:val="009025FE"/>
    <w:rsid w:val="0090266C"/>
    <w:rsid w:val="00902813"/>
    <w:rsid w:val="009028D6"/>
    <w:rsid w:val="00902B71"/>
    <w:rsid w:val="00902D03"/>
    <w:rsid w:val="00903200"/>
    <w:rsid w:val="00903302"/>
    <w:rsid w:val="00903704"/>
    <w:rsid w:val="00904238"/>
    <w:rsid w:val="00904893"/>
    <w:rsid w:val="00904C9F"/>
    <w:rsid w:val="00905050"/>
    <w:rsid w:val="00905093"/>
    <w:rsid w:val="00905153"/>
    <w:rsid w:val="009053D1"/>
    <w:rsid w:val="0090557C"/>
    <w:rsid w:val="00905772"/>
    <w:rsid w:val="009058AE"/>
    <w:rsid w:val="00905B66"/>
    <w:rsid w:val="009060A2"/>
    <w:rsid w:val="0090629B"/>
    <w:rsid w:val="009064E2"/>
    <w:rsid w:val="00906746"/>
    <w:rsid w:val="00906A70"/>
    <w:rsid w:val="00907288"/>
    <w:rsid w:val="009072A6"/>
    <w:rsid w:val="009072F1"/>
    <w:rsid w:val="00907C01"/>
    <w:rsid w:val="00910293"/>
    <w:rsid w:val="00910816"/>
    <w:rsid w:val="00910939"/>
    <w:rsid w:val="00910BAA"/>
    <w:rsid w:val="00910BF9"/>
    <w:rsid w:val="00910DAD"/>
    <w:rsid w:val="00911608"/>
    <w:rsid w:val="00911633"/>
    <w:rsid w:val="00911B43"/>
    <w:rsid w:val="00911E50"/>
    <w:rsid w:val="00912293"/>
    <w:rsid w:val="009122A5"/>
    <w:rsid w:val="009125B8"/>
    <w:rsid w:val="009127EB"/>
    <w:rsid w:val="00912A79"/>
    <w:rsid w:val="00913B5F"/>
    <w:rsid w:val="00913E2E"/>
    <w:rsid w:val="00913FB5"/>
    <w:rsid w:val="009141B8"/>
    <w:rsid w:val="00914344"/>
    <w:rsid w:val="009146DF"/>
    <w:rsid w:val="00914B6A"/>
    <w:rsid w:val="00914EB8"/>
    <w:rsid w:val="00915097"/>
    <w:rsid w:val="00915280"/>
    <w:rsid w:val="0091560E"/>
    <w:rsid w:val="0091590E"/>
    <w:rsid w:val="00916158"/>
    <w:rsid w:val="0091628C"/>
    <w:rsid w:val="0091630A"/>
    <w:rsid w:val="00916330"/>
    <w:rsid w:val="009164F5"/>
    <w:rsid w:val="009166F9"/>
    <w:rsid w:val="00916701"/>
    <w:rsid w:val="00916BE8"/>
    <w:rsid w:val="0091731E"/>
    <w:rsid w:val="0091743C"/>
    <w:rsid w:val="0091772A"/>
    <w:rsid w:val="00917A8A"/>
    <w:rsid w:val="00917BD3"/>
    <w:rsid w:val="00917CC3"/>
    <w:rsid w:val="0092005C"/>
    <w:rsid w:val="0092030C"/>
    <w:rsid w:val="0092036B"/>
    <w:rsid w:val="00920C6E"/>
    <w:rsid w:val="00920F54"/>
    <w:rsid w:val="0092122F"/>
    <w:rsid w:val="0092133E"/>
    <w:rsid w:val="009213A4"/>
    <w:rsid w:val="0092143E"/>
    <w:rsid w:val="009215DD"/>
    <w:rsid w:val="00921E2D"/>
    <w:rsid w:val="00921EAF"/>
    <w:rsid w:val="00921FC3"/>
    <w:rsid w:val="009229AD"/>
    <w:rsid w:val="00922A95"/>
    <w:rsid w:val="00922EC0"/>
    <w:rsid w:val="009231B8"/>
    <w:rsid w:val="009231BC"/>
    <w:rsid w:val="009234E3"/>
    <w:rsid w:val="0092366C"/>
    <w:rsid w:val="00923856"/>
    <w:rsid w:val="009244B2"/>
    <w:rsid w:val="00924DB7"/>
    <w:rsid w:val="00924EEC"/>
    <w:rsid w:val="00925070"/>
    <w:rsid w:val="00925756"/>
    <w:rsid w:val="009258A3"/>
    <w:rsid w:val="00925BBE"/>
    <w:rsid w:val="00925D13"/>
    <w:rsid w:val="00925DC4"/>
    <w:rsid w:val="00926027"/>
    <w:rsid w:val="00926222"/>
    <w:rsid w:val="0092633E"/>
    <w:rsid w:val="00926413"/>
    <w:rsid w:val="009265A8"/>
    <w:rsid w:val="009266EF"/>
    <w:rsid w:val="0092689A"/>
    <w:rsid w:val="00926DF7"/>
    <w:rsid w:val="00927003"/>
    <w:rsid w:val="009271D1"/>
    <w:rsid w:val="009275AF"/>
    <w:rsid w:val="00927A67"/>
    <w:rsid w:val="00930387"/>
    <w:rsid w:val="0093040D"/>
    <w:rsid w:val="0093093D"/>
    <w:rsid w:val="00930BAE"/>
    <w:rsid w:val="009310F8"/>
    <w:rsid w:val="00931A21"/>
    <w:rsid w:val="00931AA3"/>
    <w:rsid w:val="00931CF5"/>
    <w:rsid w:val="00931D3C"/>
    <w:rsid w:val="00931E58"/>
    <w:rsid w:val="00931F65"/>
    <w:rsid w:val="009326E4"/>
    <w:rsid w:val="00932CD7"/>
    <w:rsid w:val="0093302B"/>
    <w:rsid w:val="0093385B"/>
    <w:rsid w:val="00933C91"/>
    <w:rsid w:val="00933E6B"/>
    <w:rsid w:val="00933FFD"/>
    <w:rsid w:val="00934065"/>
    <w:rsid w:val="0093435D"/>
    <w:rsid w:val="0093447F"/>
    <w:rsid w:val="009357E1"/>
    <w:rsid w:val="009357E9"/>
    <w:rsid w:val="00935B50"/>
    <w:rsid w:val="00935B8D"/>
    <w:rsid w:val="00936148"/>
    <w:rsid w:val="009364CC"/>
    <w:rsid w:val="00936580"/>
    <w:rsid w:val="00936B3D"/>
    <w:rsid w:val="00936F3C"/>
    <w:rsid w:val="009378A3"/>
    <w:rsid w:val="009379F9"/>
    <w:rsid w:val="00937C2D"/>
    <w:rsid w:val="009409C6"/>
    <w:rsid w:val="00940B96"/>
    <w:rsid w:val="00940BC0"/>
    <w:rsid w:val="00940DCD"/>
    <w:rsid w:val="009415C6"/>
    <w:rsid w:val="00941B06"/>
    <w:rsid w:val="00941F0A"/>
    <w:rsid w:val="009420B7"/>
    <w:rsid w:val="0094278A"/>
    <w:rsid w:val="009437E1"/>
    <w:rsid w:val="009438EC"/>
    <w:rsid w:val="00943DE6"/>
    <w:rsid w:val="0094407B"/>
    <w:rsid w:val="009445AF"/>
    <w:rsid w:val="009445F7"/>
    <w:rsid w:val="00944747"/>
    <w:rsid w:val="00944C37"/>
    <w:rsid w:val="00944E88"/>
    <w:rsid w:val="0094516A"/>
    <w:rsid w:val="009458AB"/>
    <w:rsid w:val="00945EB9"/>
    <w:rsid w:val="009460B4"/>
    <w:rsid w:val="009461C8"/>
    <w:rsid w:val="00946645"/>
    <w:rsid w:val="009469E5"/>
    <w:rsid w:val="00946F98"/>
    <w:rsid w:val="00947CF4"/>
    <w:rsid w:val="00947F3E"/>
    <w:rsid w:val="00950336"/>
    <w:rsid w:val="00950651"/>
    <w:rsid w:val="0095082C"/>
    <w:rsid w:val="00950977"/>
    <w:rsid w:val="00950DF3"/>
    <w:rsid w:val="0095181C"/>
    <w:rsid w:val="00951958"/>
    <w:rsid w:val="009519E5"/>
    <w:rsid w:val="00951F18"/>
    <w:rsid w:val="00952179"/>
    <w:rsid w:val="0095234B"/>
    <w:rsid w:val="00952371"/>
    <w:rsid w:val="00952580"/>
    <w:rsid w:val="00952BFA"/>
    <w:rsid w:val="00952C8D"/>
    <w:rsid w:val="00952DB6"/>
    <w:rsid w:val="00952F75"/>
    <w:rsid w:val="00953270"/>
    <w:rsid w:val="009533AB"/>
    <w:rsid w:val="009534AC"/>
    <w:rsid w:val="009537ED"/>
    <w:rsid w:val="00953A94"/>
    <w:rsid w:val="00953AEC"/>
    <w:rsid w:val="00953D8F"/>
    <w:rsid w:val="00954433"/>
    <w:rsid w:val="00954712"/>
    <w:rsid w:val="00954AD0"/>
    <w:rsid w:val="00954B72"/>
    <w:rsid w:val="0095543A"/>
    <w:rsid w:val="00955C43"/>
    <w:rsid w:val="009560B7"/>
    <w:rsid w:val="00956578"/>
    <w:rsid w:val="00956669"/>
    <w:rsid w:val="00956A40"/>
    <w:rsid w:val="00957070"/>
    <w:rsid w:val="00957071"/>
    <w:rsid w:val="00957558"/>
    <w:rsid w:val="00957729"/>
    <w:rsid w:val="009577DD"/>
    <w:rsid w:val="00957924"/>
    <w:rsid w:val="00957ADD"/>
    <w:rsid w:val="00957BEF"/>
    <w:rsid w:val="00957FD8"/>
    <w:rsid w:val="00960117"/>
    <w:rsid w:val="0096083D"/>
    <w:rsid w:val="009608FA"/>
    <w:rsid w:val="00960945"/>
    <w:rsid w:val="00960C77"/>
    <w:rsid w:val="009616D4"/>
    <w:rsid w:val="0096177E"/>
    <w:rsid w:val="00961A03"/>
    <w:rsid w:val="00962895"/>
    <w:rsid w:val="00962A50"/>
    <w:rsid w:val="00962B73"/>
    <w:rsid w:val="00962C2E"/>
    <w:rsid w:val="00962CB4"/>
    <w:rsid w:val="00963380"/>
    <w:rsid w:val="009634A5"/>
    <w:rsid w:val="00963C01"/>
    <w:rsid w:val="00964034"/>
    <w:rsid w:val="009640B0"/>
    <w:rsid w:val="009644F0"/>
    <w:rsid w:val="009647E7"/>
    <w:rsid w:val="0096592E"/>
    <w:rsid w:val="00965C01"/>
    <w:rsid w:val="00965DAA"/>
    <w:rsid w:val="0096653E"/>
    <w:rsid w:val="0096661D"/>
    <w:rsid w:val="00966D98"/>
    <w:rsid w:val="00966D9B"/>
    <w:rsid w:val="00966DD4"/>
    <w:rsid w:val="0096708A"/>
    <w:rsid w:val="00967098"/>
    <w:rsid w:val="009700BA"/>
    <w:rsid w:val="00970600"/>
    <w:rsid w:val="009706C4"/>
    <w:rsid w:val="00970CB4"/>
    <w:rsid w:val="009710C0"/>
    <w:rsid w:val="0097136C"/>
    <w:rsid w:val="00971AEB"/>
    <w:rsid w:val="00971DCE"/>
    <w:rsid w:val="00972701"/>
    <w:rsid w:val="0097277C"/>
    <w:rsid w:val="00972901"/>
    <w:rsid w:val="00972967"/>
    <w:rsid w:val="009729C7"/>
    <w:rsid w:val="00973022"/>
    <w:rsid w:val="009734A5"/>
    <w:rsid w:val="0097356B"/>
    <w:rsid w:val="0097373F"/>
    <w:rsid w:val="00973EA0"/>
    <w:rsid w:val="00973F45"/>
    <w:rsid w:val="0097481A"/>
    <w:rsid w:val="00974DE8"/>
    <w:rsid w:val="0097514F"/>
    <w:rsid w:val="00975392"/>
    <w:rsid w:val="009753E5"/>
    <w:rsid w:val="009754B4"/>
    <w:rsid w:val="00975FF7"/>
    <w:rsid w:val="00976459"/>
    <w:rsid w:val="009769C3"/>
    <w:rsid w:val="00976F1D"/>
    <w:rsid w:val="009770A1"/>
    <w:rsid w:val="009771BD"/>
    <w:rsid w:val="0097740E"/>
    <w:rsid w:val="009777A0"/>
    <w:rsid w:val="00977F5B"/>
    <w:rsid w:val="00980376"/>
    <w:rsid w:val="00980690"/>
    <w:rsid w:val="009812D4"/>
    <w:rsid w:val="009812DD"/>
    <w:rsid w:val="009813F9"/>
    <w:rsid w:val="00981C28"/>
    <w:rsid w:val="009827F8"/>
    <w:rsid w:val="00983C2D"/>
    <w:rsid w:val="00983E62"/>
    <w:rsid w:val="00983E69"/>
    <w:rsid w:val="00983F4A"/>
    <w:rsid w:val="009843DE"/>
    <w:rsid w:val="0098513A"/>
    <w:rsid w:val="0098515E"/>
    <w:rsid w:val="00985433"/>
    <w:rsid w:val="0098571B"/>
    <w:rsid w:val="00985DF2"/>
    <w:rsid w:val="009861A1"/>
    <w:rsid w:val="00986481"/>
    <w:rsid w:val="00986501"/>
    <w:rsid w:val="009867F6"/>
    <w:rsid w:val="009868BC"/>
    <w:rsid w:val="00986A15"/>
    <w:rsid w:val="00986D19"/>
    <w:rsid w:val="00986F6B"/>
    <w:rsid w:val="00987AB2"/>
    <w:rsid w:val="00987FC0"/>
    <w:rsid w:val="009900E0"/>
    <w:rsid w:val="00990213"/>
    <w:rsid w:val="009910A3"/>
    <w:rsid w:val="009910D7"/>
    <w:rsid w:val="00991EE7"/>
    <w:rsid w:val="00991F7F"/>
    <w:rsid w:val="009923B2"/>
    <w:rsid w:val="009924D9"/>
    <w:rsid w:val="00992B0E"/>
    <w:rsid w:val="00992F60"/>
    <w:rsid w:val="009930B2"/>
    <w:rsid w:val="00993BA3"/>
    <w:rsid w:val="00993C18"/>
    <w:rsid w:val="0099461E"/>
    <w:rsid w:val="009946CC"/>
    <w:rsid w:val="00994AC5"/>
    <w:rsid w:val="009951F1"/>
    <w:rsid w:val="0099563A"/>
    <w:rsid w:val="00995B37"/>
    <w:rsid w:val="0099642D"/>
    <w:rsid w:val="00997767"/>
    <w:rsid w:val="00997E09"/>
    <w:rsid w:val="009A015C"/>
    <w:rsid w:val="009A0172"/>
    <w:rsid w:val="009A0683"/>
    <w:rsid w:val="009A0808"/>
    <w:rsid w:val="009A0862"/>
    <w:rsid w:val="009A0B99"/>
    <w:rsid w:val="009A0C15"/>
    <w:rsid w:val="009A0C76"/>
    <w:rsid w:val="009A0E64"/>
    <w:rsid w:val="009A178F"/>
    <w:rsid w:val="009A2189"/>
    <w:rsid w:val="009A2A37"/>
    <w:rsid w:val="009A2A7F"/>
    <w:rsid w:val="009A30C4"/>
    <w:rsid w:val="009A3391"/>
    <w:rsid w:val="009A361E"/>
    <w:rsid w:val="009A3BBF"/>
    <w:rsid w:val="009A3E18"/>
    <w:rsid w:val="009A418E"/>
    <w:rsid w:val="009A41CB"/>
    <w:rsid w:val="009A424B"/>
    <w:rsid w:val="009A42FB"/>
    <w:rsid w:val="009A4C27"/>
    <w:rsid w:val="009A4EA7"/>
    <w:rsid w:val="009A514D"/>
    <w:rsid w:val="009A518B"/>
    <w:rsid w:val="009A53A8"/>
    <w:rsid w:val="009A58BA"/>
    <w:rsid w:val="009A61D6"/>
    <w:rsid w:val="009A65A4"/>
    <w:rsid w:val="009A69BB"/>
    <w:rsid w:val="009A69EC"/>
    <w:rsid w:val="009A6AE5"/>
    <w:rsid w:val="009A6DF9"/>
    <w:rsid w:val="009A714B"/>
    <w:rsid w:val="009A7384"/>
    <w:rsid w:val="009A7657"/>
    <w:rsid w:val="009A7756"/>
    <w:rsid w:val="009A7809"/>
    <w:rsid w:val="009A7D8E"/>
    <w:rsid w:val="009A7E67"/>
    <w:rsid w:val="009A7E85"/>
    <w:rsid w:val="009B0173"/>
    <w:rsid w:val="009B01DB"/>
    <w:rsid w:val="009B050E"/>
    <w:rsid w:val="009B0C38"/>
    <w:rsid w:val="009B121F"/>
    <w:rsid w:val="009B13B4"/>
    <w:rsid w:val="009B141A"/>
    <w:rsid w:val="009B15E0"/>
    <w:rsid w:val="009B18ED"/>
    <w:rsid w:val="009B1E50"/>
    <w:rsid w:val="009B1F01"/>
    <w:rsid w:val="009B254E"/>
    <w:rsid w:val="009B269B"/>
    <w:rsid w:val="009B28AE"/>
    <w:rsid w:val="009B28BA"/>
    <w:rsid w:val="009B2D12"/>
    <w:rsid w:val="009B2D44"/>
    <w:rsid w:val="009B31AA"/>
    <w:rsid w:val="009B3648"/>
    <w:rsid w:val="009B3ABA"/>
    <w:rsid w:val="009B3AFB"/>
    <w:rsid w:val="009B3C1E"/>
    <w:rsid w:val="009B3E74"/>
    <w:rsid w:val="009B3F48"/>
    <w:rsid w:val="009B3F75"/>
    <w:rsid w:val="009B3FBF"/>
    <w:rsid w:val="009B44C7"/>
    <w:rsid w:val="009B48F2"/>
    <w:rsid w:val="009B4B72"/>
    <w:rsid w:val="009B52EC"/>
    <w:rsid w:val="009B551A"/>
    <w:rsid w:val="009B56F7"/>
    <w:rsid w:val="009B5736"/>
    <w:rsid w:val="009B57D7"/>
    <w:rsid w:val="009B623F"/>
    <w:rsid w:val="009B63BF"/>
    <w:rsid w:val="009B6C43"/>
    <w:rsid w:val="009B7444"/>
    <w:rsid w:val="009B78EE"/>
    <w:rsid w:val="009B7B59"/>
    <w:rsid w:val="009B7EAF"/>
    <w:rsid w:val="009C0796"/>
    <w:rsid w:val="009C0A0B"/>
    <w:rsid w:val="009C0CBC"/>
    <w:rsid w:val="009C0EB1"/>
    <w:rsid w:val="009C0F22"/>
    <w:rsid w:val="009C14EC"/>
    <w:rsid w:val="009C16CC"/>
    <w:rsid w:val="009C19E5"/>
    <w:rsid w:val="009C1B90"/>
    <w:rsid w:val="009C2190"/>
    <w:rsid w:val="009C22F2"/>
    <w:rsid w:val="009C267E"/>
    <w:rsid w:val="009C2810"/>
    <w:rsid w:val="009C2891"/>
    <w:rsid w:val="009C2991"/>
    <w:rsid w:val="009C2C88"/>
    <w:rsid w:val="009C2D55"/>
    <w:rsid w:val="009C2E82"/>
    <w:rsid w:val="009C3287"/>
    <w:rsid w:val="009C39F0"/>
    <w:rsid w:val="009C3D9E"/>
    <w:rsid w:val="009C3E14"/>
    <w:rsid w:val="009C3E1E"/>
    <w:rsid w:val="009C3F7B"/>
    <w:rsid w:val="009C477D"/>
    <w:rsid w:val="009C4CA1"/>
    <w:rsid w:val="009C4DBF"/>
    <w:rsid w:val="009C4F46"/>
    <w:rsid w:val="009C504A"/>
    <w:rsid w:val="009C5341"/>
    <w:rsid w:val="009C6121"/>
    <w:rsid w:val="009C727E"/>
    <w:rsid w:val="009C73E2"/>
    <w:rsid w:val="009C75B2"/>
    <w:rsid w:val="009C78E2"/>
    <w:rsid w:val="009C7C1E"/>
    <w:rsid w:val="009D1C79"/>
    <w:rsid w:val="009D20F6"/>
    <w:rsid w:val="009D2346"/>
    <w:rsid w:val="009D23FB"/>
    <w:rsid w:val="009D28D0"/>
    <w:rsid w:val="009D2CBB"/>
    <w:rsid w:val="009D306C"/>
    <w:rsid w:val="009D37CD"/>
    <w:rsid w:val="009D3915"/>
    <w:rsid w:val="009D3D82"/>
    <w:rsid w:val="009D3E67"/>
    <w:rsid w:val="009D400C"/>
    <w:rsid w:val="009D4104"/>
    <w:rsid w:val="009D42E5"/>
    <w:rsid w:val="009D42F0"/>
    <w:rsid w:val="009D4367"/>
    <w:rsid w:val="009D43E6"/>
    <w:rsid w:val="009D444E"/>
    <w:rsid w:val="009D46D6"/>
    <w:rsid w:val="009D518B"/>
    <w:rsid w:val="009D54C1"/>
    <w:rsid w:val="009D5CF2"/>
    <w:rsid w:val="009D5E14"/>
    <w:rsid w:val="009D604E"/>
    <w:rsid w:val="009D6226"/>
    <w:rsid w:val="009D6462"/>
    <w:rsid w:val="009D6497"/>
    <w:rsid w:val="009D67B3"/>
    <w:rsid w:val="009D6C10"/>
    <w:rsid w:val="009D6CC4"/>
    <w:rsid w:val="009D6D56"/>
    <w:rsid w:val="009D701E"/>
    <w:rsid w:val="009D742A"/>
    <w:rsid w:val="009D753F"/>
    <w:rsid w:val="009D7648"/>
    <w:rsid w:val="009E03E9"/>
    <w:rsid w:val="009E050B"/>
    <w:rsid w:val="009E06E1"/>
    <w:rsid w:val="009E077B"/>
    <w:rsid w:val="009E081E"/>
    <w:rsid w:val="009E0A00"/>
    <w:rsid w:val="009E0A1C"/>
    <w:rsid w:val="009E0C9B"/>
    <w:rsid w:val="009E0E18"/>
    <w:rsid w:val="009E128F"/>
    <w:rsid w:val="009E16AE"/>
    <w:rsid w:val="009E1E31"/>
    <w:rsid w:val="009E22FF"/>
    <w:rsid w:val="009E251F"/>
    <w:rsid w:val="009E2AFD"/>
    <w:rsid w:val="009E3351"/>
    <w:rsid w:val="009E350D"/>
    <w:rsid w:val="009E35F1"/>
    <w:rsid w:val="009E3742"/>
    <w:rsid w:val="009E3972"/>
    <w:rsid w:val="009E4495"/>
    <w:rsid w:val="009E465F"/>
    <w:rsid w:val="009E4A87"/>
    <w:rsid w:val="009E4D0F"/>
    <w:rsid w:val="009E4F97"/>
    <w:rsid w:val="009E5607"/>
    <w:rsid w:val="009E5A6A"/>
    <w:rsid w:val="009E5BA8"/>
    <w:rsid w:val="009E6D70"/>
    <w:rsid w:val="009E7A6E"/>
    <w:rsid w:val="009F08CA"/>
    <w:rsid w:val="009F1284"/>
    <w:rsid w:val="009F14B3"/>
    <w:rsid w:val="009F1510"/>
    <w:rsid w:val="009F1687"/>
    <w:rsid w:val="009F1908"/>
    <w:rsid w:val="009F1D03"/>
    <w:rsid w:val="009F1DBD"/>
    <w:rsid w:val="009F1F9C"/>
    <w:rsid w:val="009F26EE"/>
    <w:rsid w:val="009F2EC8"/>
    <w:rsid w:val="009F304E"/>
    <w:rsid w:val="009F3345"/>
    <w:rsid w:val="009F347D"/>
    <w:rsid w:val="009F39EF"/>
    <w:rsid w:val="009F3E3A"/>
    <w:rsid w:val="009F4434"/>
    <w:rsid w:val="009F4E65"/>
    <w:rsid w:val="009F4FC3"/>
    <w:rsid w:val="009F514A"/>
    <w:rsid w:val="009F51C6"/>
    <w:rsid w:val="009F527E"/>
    <w:rsid w:val="009F53CE"/>
    <w:rsid w:val="009F540B"/>
    <w:rsid w:val="009F5676"/>
    <w:rsid w:val="009F5926"/>
    <w:rsid w:val="009F5E6A"/>
    <w:rsid w:val="009F6363"/>
    <w:rsid w:val="009F68A9"/>
    <w:rsid w:val="009F69DB"/>
    <w:rsid w:val="009F6BE8"/>
    <w:rsid w:val="009F6CB7"/>
    <w:rsid w:val="009F7A71"/>
    <w:rsid w:val="009F7B8B"/>
    <w:rsid w:val="00A004AA"/>
    <w:rsid w:val="00A004AD"/>
    <w:rsid w:val="00A00D8F"/>
    <w:rsid w:val="00A00E54"/>
    <w:rsid w:val="00A00FCF"/>
    <w:rsid w:val="00A01064"/>
    <w:rsid w:val="00A010AC"/>
    <w:rsid w:val="00A010E7"/>
    <w:rsid w:val="00A0142C"/>
    <w:rsid w:val="00A01613"/>
    <w:rsid w:val="00A02814"/>
    <w:rsid w:val="00A02B56"/>
    <w:rsid w:val="00A02D71"/>
    <w:rsid w:val="00A02E0C"/>
    <w:rsid w:val="00A030FB"/>
    <w:rsid w:val="00A0373C"/>
    <w:rsid w:val="00A03FCD"/>
    <w:rsid w:val="00A04056"/>
    <w:rsid w:val="00A040F3"/>
    <w:rsid w:val="00A043AA"/>
    <w:rsid w:val="00A04EB5"/>
    <w:rsid w:val="00A05037"/>
    <w:rsid w:val="00A05328"/>
    <w:rsid w:val="00A05843"/>
    <w:rsid w:val="00A05A40"/>
    <w:rsid w:val="00A05D49"/>
    <w:rsid w:val="00A0600E"/>
    <w:rsid w:val="00A0663B"/>
    <w:rsid w:val="00A0679B"/>
    <w:rsid w:val="00A06C65"/>
    <w:rsid w:val="00A06E64"/>
    <w:rsid w:val="00A0797F"/>
    <w:rsid w:val="00A079BF"/>
    <w:rsid w:val="00A07B39"/>
    <w:rsid w:val="00A107AC"/>
    <w:rsid w:val="00A1092E"/>
    <w:rsid w:val="00A10BDA"/>
    <w:rsid w:val="00A10EB0"/>
    <w:rsid w:val="00A11105"/>
    <w:rsid w:val="00A114CD"/>
    <w:rsid w:val="00A11538"/>
    <w:rsid w:val="00A115B6"/>
    <w:rsid w:val="00A11939"/>
    <w:rsid w:val="00A119E6"/>
    <w:rsid w:val="00A11D84"/>
    <w:rsid w:val="00A123A1"/>
    <w:rsid w:val="00A125D2"/>
    <w:rsid w:val="00A13069"/>
    <w:rsid w:val="00A133F2"/>
    <w:rsid w:val="00A134BF"/>
    <w:rsid w:val="00A135ED"/>
    <w:rsid w:val="00A13B70"/>
    <w:rsid w:val="00A142D2"/>
    <w:rsid w:val="00A14A62"/>
    <w:rsid w:val="00A14A7B"/>
    <w:rsid w:val="00A14F92"/>
    <w:rsid w:val="00A157E6"/>
    <w:rsid w:val="00A159A0"/>
    <w:rsid w:val="00A16020"/>
    <w:rsid w:val="00A16200"/>
    <w:rsid w:val="00A166D0"/>
    <w:rsid w:val="00A16768"/>
    <w:rsid w:val="00A17510"/>
    <w:rsid w:val="00A17A87"/>
    <w:rsid w:val="00A17AF8"/>
    <w:rsid w:val="00A17E6F"/>
    <w:rsid w:val="00A17FFE"/>
    <w:rsid w:val="00A200B8"/>
    <w:rsid w:val="00A210DC"/>
    <w:rsid w:val="00A21518"/>
    <w:rsid w:val="00A219DB"/>
    <w:rsid w:val="00A21B8C"/>
    <w:rsid w:val="00A21EEE"/>
    <w:rsid w:val="00A2226D"/>
    <w:rsid w:val="00A22458"/>
    <w:rsid w:val="00A22E41"/>
    <w:rsid w:val="00A23176"/>
    <w:rsid w:val="00A237AD"/>
    <w:rsid w:val="00A23D7E"/>
    <w:rsid w:val="00A243CE"/>
    <w:rsid w:val="00A2460C"/>
    <w:rsid w:val="00A24657"/>
    <w:rsid w:val="00A249C6"/>
    <w:rsid w:val="00A2501C"/>
    <w:rsid w:val="00A2542D"/>
    <w:rsid w:val="00A255ED"/>
    <w:rsid w:val="00A2573A"/>
    <w:rsid w:val="00A25789"/>
    <w:rsid w:val="00A259D6"/>
    <w:rsid w:val="00A25DD0"/>
    <w:rsid w:val="00A25E36"/>
    <w:rsid w:val="00A25EAB"/>
    <w:rsid w:val="00A25ED3"/>
    <w:rsid w:val="00A25F51"/>
    <w:rsid w:val="00A26370"/>
    <w:rsid w:val="00A26E65"/>
    <w:rsid w:val="00A273CE"/>
    <w:rsid w:val="00A27832"/>
    <w:rsid w:val="00A27C81"/>
    <w:rsid w:val="00A27D1B"/>
    <w:rsid w:val="00A27FD6"/>
    <w:rsid w:val="00A301A6"/>
    <w:rsid w:val="00A309C8"/>
    <w:rsid w:val="00A309CB"/>
    <w:rsid w:val="00A30B79"/>
    <w:rsid w:val="00A31A48"/>
    <w:rsid w:val="00A31DB7"/>
    <w:rsid w:val="00A32243"/>
    <w:rsid w:val="00A32582"/>
    <w:rsid w:val="00A33006"/>
    <w:rsid w:val="00A335E4"/>
    <w:rsid w:val="00A33DC7"/>
    <w:rsid w:val="00A34A2B"/>
    <w:rsid w:val="00A34FAE"/>
    <w:rsid w:val="00A3506D"/>
    <w:rsid w:val="00A350B6"/>
    <w:rsid w:val="00A35165"/>
    <w:rsid w:val="00A35185"/>
    <w:rsid w:val="00A35428"/>
    <w:rsid w:val="00A358E5"/>
    <w:rsid w:val="00A358EF"/>
    <w:rsid w:val="00A36257"/>
    <w:rsid w:val="00A36366"/>
    <w:rsid w:val="00A36367"/>
    <w:rsid w:val="00A36953"/>
    <w:rsid w:val="00A36CD1"/>
    <w:rsid w:val="00A36DFF"/>
    <w:rsid w:val="00A37243"/>
    <w:rsid w:val="00A37F5F"/>
    <w:rsid w:val="00A405ED"/>
    <w:rsid w:val="00A40994"/>
    <w:rsid w:val="00A40E9E"/>
    <w:rsid w:val="00A40F11"/>
    <w:rsid w:val="00A4173A"/>
    <w:rsid w:val="00A419D5"/>
    <w:rsid w:val="00A41F50"/>
    <w:rsid w:val="00A42026"/>
    <w:rsid w:val="00A42139"/>
    <w:rsid w:val="00A429CD"/>
    <w:rsid w:val="00A42BC9"/>
    <w:rsid w:val="00A42E9B"/>
    <w:rsid w:val="00A43212"/>
    <w:rsid w:val="00A43292"/>
    <w:rsid w:val="00A4450B"/>
    <w:rsid w:val="00A4463D"/>
    <w:rsid w:val="00A44C7A"/>
    <w:rsid w:val="00A4525C"/>
    <w:rsid w:val="00A45350"/>
    <w:rsid w:val="00A45722"/>
    <w:rsid w:val="00A45B25"/>
    <w:rsid w:val="00A45E15"/>
    <w:rsid w:val="00A460D9"/>
    <w:rsid w:val="00A46B09"/>
    <w:rsid w:val="00A46D02"/>
    <w:rsid w:val="00A46FC7"/>
    <w:rsid w:val="00A4741D"/>
    <w:rsid w:val="00A4765D"/>
    <w:rsid w:val="00A4786B"/>
    <w:rsid w:val="00A47934"/>
    <w:rsid w:val="00A4798A"/>
    <w:rsid w:val="00A479ED"/>
    <w:rsid w:val="00A47BAB"/>
    <w:rsid w:val="00A502A0"/>
    <w:rsid w:val="00A505FA"/>
    <w:rsid w:val="00A50ABE"/>
    <w:rsid w:val="00A51157"/>
    <w:rsid w:val="00A51BEF"/>
    <w:rsid w:val="00A52160"/>
    <w:rsid w:val="00A52349"/>
    <w:rsid w:val="00A524B7"/>
    <w:rsid w:val="00A524C1"/>
    <w:rsid w:val="00A5254B"/>
    <w:rsid w:val="00A52727"/>
    <w:rsid w:val="00A527D0"/>
    <w:rsid w:val="00A5288E"/>
    <w:rsid w:val="00A5290F"/>
    <w:rsid w:val="00A5301E"/>
    <w:rsid w:val="00A5376D"/>
    <w:rsid w:val="00A53792"/>
    <w:rsid w:val="00A53C74"/>
    <w:rsid w:val="00A54103"/>
    <w:rsid w:val="00A5418B"/>
    <w:rsid w:val="00A54D41"/>
    <w:rsid w:val="00A54E97"/>
    <w:rsid w:val="00A54F1B"/>
    <w:rsid w:val="00A5507F"/>
    <w:rsid w:val="00A56527"/>
    <w:rsid w:val="00A56A23"/>
    <w:rsid w:val="00A56FFC"/>
    <w:rsid w:val="00A5719F"/>
    <w:rsid w:val="00A57487"/>
    <w:rsid w:val="00A57809"/>
    <w:rsid w:val="00A57CF5"/>
    <w:rsid w:val="00A603C6"/>
    <w:rsid w:val="00A606B5"/>
    <w:rsid w:val="00A6075F"/>
    <w:rsid w:val="00A609D6"/>
    <w:rsid w:val="00A60A25"/>
    <w:rsid w:val="00A60A99"/>
    <w:rsid w:val="00A60E2A"/>
    <w:rsid w:val="00A612D9"/>
    <w:rsid w:val="00A61759"/>
    <w:rsid w:val="00A61BB1"/>
    <w:rsid w:val="00A61FF5"/>
    <w:rsid w:val="00A622C3"/>
    <w:rsid w:val="00A6278A"/>
    <w:rsid w:val="00A63925"/>
    <w:rsid w:val="00A63C56"/>
    <w:rsid w:val="00A63E35"/>
    <w:rsid w:val="00A64022"/>
    <w:rsid w:val="00A6436D"/>
    <w:rsid w:val="00A643DA"/>
    <w:rsid w:val="00A6477C"/>
    <w:rsid w:val="00A653DA"/>
    <w:rsid w:val="00A654D4"/>
    <w:rsid w:val="00A657BA"/>
    <w:rsid w:val="00A6594D"/>
    <w:rsid w:val="00A66114"/>
    <w:rsid w:val="00A6640F"/>
    <w:rsid w:val="00A668FF"/>
    <w:rsid w:val="00A66A7C"/>
    <w:rsid w:val="00A66BA0"/>
    <w:rsid w:val="00A66F07"/>
    <w:rsid w:val="00A67036"/>
    <w:rsid w:val="00A670CE"/>
    <w:rsid w:val="00A675B8"/>
    <w:rsid w:val="00A676C4"/>
    <w:rsid w:val="00A67875"/>
    <w:rsid w:val="00A67C74"/>
    <w:rsid w:val="00A70023"/>
    <w:rsid w:val="00A700B1"/>
    <w:rsid w:val="00A7107A"/>
    <w:rsid w:val="00A710D1"/>
    <w:rsid w:val="00A7117F"/>
    <w:rsid w:val="00A7122E"/>
    <w:rsid w:val="00A71495"/>
    <w:rsid w:val="00A71537"/>
    <w:rsid w:val="00A71802"/>
    <w:rsid w:val="00A71B97"/>
    <w:rsid w:val="00A71C08"/>
    <w:rsid w:val="00A728F1"/>
    <w:rsid w:val="00A72ADF"/>
    <w:rsid w:val="00A72B50"/>
    <w:rsid w:val="00A7360F"/>
    <w:rsid w:val="00A7390F"/>
    <w:rsid w:val="00A73A9C"/>
    <w:rsid w:val="00A73E42"/>
    <w:rsid w:val="00A74B86"/>
    <w:rsid w:val="00A750E1"/>
    <w:rsid w:val="00A754F4"/>
    <w:rsid w:val="00A7590E"/>
    <w:rsid w:val="00A75AFB"/>
    <w:rsid w:val="00A75BD7"/>
    <w:rsid w:val="00A7608D"/>
    <w:rsid w:val="00A76295"/>
    <w:rsid w:val="00A76E8F"/>
    <w:rsid w:val="00A76E96"/>
    <w:rsid w:val="00A76FE5"/>
    <w:rsid w:val="00A771A5"/>
    <w:rsid w:val="00A77705"/>
    <w:rsid w:val="00A7789D"/>
    <w:rsid w:val="00A77AA7"/>
    <w:rsid w:val="00A77DCD"/>
    <w:rsid w:val="00A80227"/>
    <w:rsid w:val="00A803C3"/>
    <w:rsid w:val="00A8053A"/>
    <w:rsid w:val="00A8068F"/>
    <w:rsid w:val="00A809A9"/>
    <w:rsid w:val="00A80C7C"/>
    <w:rsid w:val="00A80C90"/>
    <w:rsid w:val="00A80DBC"/>
    <w:rsid w:val="00A80F97"/>
    <w:rsid w:val="00A81260"/>
    <w:rsid w:val="00A81324"/>
    <w:rsid w:val="00A81D74"/>
    <w:rsid w:val="00A82254"/>
    <w:rsid w:val="00A8262E"/>
    <w:rsid w:val="00A8290B"/>
    <w:rsid w:val="00A82A22"/>
    <w:rsid w:val="00A82DB1"/>
    <w:rsid w:val="00A82E3B"/>
    <w:rsid w:val="00A832B6"/>
    <w:rsid w:val="00A83616"/>
    <w:rsid w:val="00A838A5"/>
    <w:rsid w:val="00A83C4F"/>
    <w:rsid w:val="00A840C1"/>
    <w:rsid w:val="00A84580"/>
    <w:rsid w:val="00A848B4"/>
    <w:rsid w:val="00A84DDE"/>
    <w:rsid w:val="00A8523A"/>
    <w:rsid w:val="00A8599A"/>
    <w:rsid w:val="00A85ACB"/>
    <w:rsid w:val="00A85C66"/>
    <w:rsid w:val="00A86830"/>
    <w:rsid w:val="00A86CFF"/>
    <w:rsid w:val="00A86D37"/>
    <w:rsid w:val="00A86DD6"/>
    <w:rsid w:val="00A86EB0"/>
    <w:rsid w:val="00A87396"/>
    <w:rsid w:val="00A876C0"/>
    <w:rsid w:val="00A87924"/>
    <w:rsid w:val="00A87BFC"/>
    <w:rsid w:val="00A908FC"/>
    <w:rsid w:val="00A90E92"/>
    <w:rsid w:val="00A90E9D"/>
    <w:rsid w:val="00A91164"/>
    <w:rsid w:val="00A911C8"/>
    <w:rsid w:val="00A9130F"/>
    <w:rsid w:val="00A91361"/>
    <w:rsid w:val="00A91431"/>
    <w:rsid w:val="00A91484"/>
    <w:rsid w:val="00A91A31"/>
    <w:rsid w:val="00A92C68"/>
    <w:rsid w:val="00A931E4"/>
    <w:rsid w:val="00A93837"/>
    <w:rsid w:val="00A93857"/>
    <w:rsid w:val="00A9389A"/>
    <w:rsid w:val="00A938B0"/>
    <w:rsid w:val="00A94088"/>
    <w:rsid w:val="00A9412C"/>
    <w:rsid w:val="00A946BB"/>
    <w:rsid w:val="00A94863"/>
    <w:rsid w:val="00A94BC9"/>
    <w:rsid w:val="00A95270"/>
    <w:rsid w:val="00A95458"/>
    <w:rsid w:val="00A95813"/>
    <w:rsid w:val="00A95AEC"/>
    <w:rsid w:val="00A95EC5"/>
    <w:rsid w:val="00A95F6F"/>
    <w:rsid w:val="00A96293"/>
    <w:rsid w:val="00A965F1"/>
    <w:rsid w:val="00A9676A"/>
    <w:rsid w:val="00A9693C"/>
    <w:rsid w:val="00A969A1"/>
    <w:rsid w:val="00A97005"/>
    <w:rsid w:val="00A97151"/>
    <w:rsid w:val="00A97A78"/>
    <w:rsid w:val="00A97B9A"/>
    <w:rsid w:val="00AA0268"/>
    <w:rsid w:val="00AA0449"/>
    <w:rsid w:val="00AA0B37"/>
    <w:rsid w:val="00AA0FA0"/>
    <w:rsid w:val="00AA1068"/>
    <w:rsid w:val="00AA158A"/>
    <w:rsid w:val="00AA199A"/>
    <w:rsid w:val="00AA1C85"/>
    <w:rsid w:val="00AA1E49"/>
    <w:rsid w:val="00AA23EF"/>
    <w:rsid w:val="00AA2580"/>
    <w:rsid w:val="00AA29BD"/>
    <w:rsid w:val="00AA2F84"/>
    <w:rsid w:val="00AA35EA"/>
    <w:rsid w:val="00AA370D"/>
    <w:rsid w:val="00AA3A26"/>
    <w:rsid w:val="00AA3B70"/>
    <w:rsid w:val="00AA3B75"/>
    <w:rsid w:val="00AA425F"/>
    <w:rsid w:val="00AA4458"/>
    <w:rsid w:val="00AA468D"/>
    <w:rsid w:val="00AA49A0"/>
    <w:rsid w:val="00AA49F7"/>
    <w:rsid w:val="00AA4BCA"/>
    <w:rsid w:val="00AA5606"/>
    <w:rsid w:val="00AA564A"/>
    <w:rsid w:val="00AA56F8"/>
    <w:rsid w:val="00AA57B9"/>
    <w:rsid w:val="00AA5C24"/>
    <w:rsid w:val="00AA60E5"/>
    <w:rsid w:val="00AA62FB"/>
    <w:rsid w:val="00AA63C7"/>
    <w:rsid w:val="00AA6985"/>
    <w:rsid w:val="00AA6D5A"/>
    <w:rsid w:val="00AB0653"/>
    <w:rsid w:val="00AB09A9"/>
    <w:rsid w:val="00AB0C71"/>
    <w:rsid w:val="00AB0CFC"/>
    <w:rsid w:val="00AB1627"/>
    <w:rsid w:val="00AB162B"/>
    <w:rsid w:val="00AB1883"/>
    <w:rsid w:val="00AB1EFC"/>
    <w:rsid w:val="00AB2152"/>
    <w:rsid w:val="00AB2400"/>
    <w:rsid w:val="00AB2875"/>
    <w:rsid w:val="00AB3110"/>
    <w:rsid w:val="00AB34F3"/>
    <w:rsid w:val="00AB3799"/>
    <w:rsid w:val="00AB3F29"/>
    <w:rsid w:val="00AB3F8F"/>
    <w:rsid w:val="00AB44DB"/>
    <w:rsid w:val="00AB4BED"/>
    <w:rsid w:val="00AB4DDA"/>
    <w:rsid w:val="00AB5273"/>
    <w:rsid w:val="00AB60CB"/>
    <w:rsid w:val="00AB6273"/>
    <w:rsid w:val="00AB635B"/>
    <w:rsid w:val="00AB66D3"/>
    <w:rsid w:val="00AB6BC3"/>
    <w:rsid w:val="00AB6BE6"/>
    <w:rsid w:val="00AB6DE1"/>
    <w:rsid w:val="00AB7570"/>
    <w:rsid w:val="00AB7586"/>
    <w:rsid w:val="00AB7AD9"/>
    <w:rsid w:val="00AB7E72"/>
    <w:rsid w:val="00AB7F01"/>
    <w:rsid w:val="00AC0623"/>
    <w:rsid w:val="00AC0C60"/>
    <w:rsid w:val="00AC1124"/>
    <w:rsid w:val="00AC1C9A"/>
    <w:rsid w:val="00AC1E81"/>
    <w:rsid w:val="00AC1EB6"/>
    <w:rsid w:val="00AC30F6"/>
    <w:rsid w:val="00AC3184"/>
    <w:rsid w:val="00AC3212"/>
    <w:rsid w:val="00AC33B9"/>
    <w:rsid w:val="00AC3CD7"/>
    <w:rsid w:val="00AC44A6"/>
    <w:rsid w:val="00AC44FC"/>
    <w:rsid w:val="00AC46EB"/>
    <w:rsid w:val="00AC485D"/>
    <w:rsid w:val="00AC4B26"/>
    <w:rsid w:val="00AC4CAC"/>
    <w:rsid w:val="00AC4D0D"/>
    <w:rsid w:val="00AC4DC4"/>
    <w:rsid w:val="00AC4E47"/>
    <w:rsid w:val="00AC589D"/>
    <w:rsid w:val="00AC5B20"/>
    <w:rsid w:val="00AC60B9"/>
    <w:rsid w:val="00AC6361"/>
    <w:rsid w:val="00AC6492"/>
    <w:rsid w:val="00AC67A6"/>
    <w:rsid w:val="00AC6C72"/>
    <w:rsid w:val="00AC6D98"/>
    <w:rsid w:val="00AC6DC7"/>
    <w:rsid w:val="00AC6E89"/>
    <w:rsid w:val="00AC738F"/>
    <w:rsid w:val="00AC79C2"/>
    <w:rsid w:val="00AC7C3A"/>
    <w:rsid w:val="00AC7C99"/>
    <w:rsid w:val="00AD0117"/>
    <w:rsid w:val="00AD0155"/>
    <w:rsid w:val="00AD038E"/>
    <w:rsid w:val="00AD0425"/>
    <w:rsid w:val="00AD07B2"/>
    <w:rsid w:val="00AD0B98"/>
    <w:rsid w:val="00AD0D5F"/>
    <w:rsid w:val="00AD149C"/>
    <w:rsid w:val="00AD1824"/>
    <w:rsid w:val="00AD1941"/>
    <w:rsid w:val="00AD1D67"/>
    <w:rsid w:val="00AD1E81"/>
    <w:rsid w:val="00AD2440"/>
    <w:rsid w:val="00AD2943"/>
    <w:rsid w:val="00AD2AB2"/>
    <w:rsid w:val="00AD2B23"/>
    <w:rsid w:val="00AD33D3"/>
    <w:rsid w:val="00AD33E9"/>
    <w:rsid w:val="00AD3AFA"/>
    <w:rsid w:val="00AD4579"/>
    <w:rsid w:val="00AD4882"/>
    <w:rsid w:val="00AD4A23"/>
    <w:rsid w:val="00AD4DB4"/>
    <w:rsid w:val="00AD4DB7"/>
    <w:rsid w:val="00AD4F74"/>
    <w:rsid w:val="00AD57ED"/>
    <w:rsid w:val="00AD5A10"/>
    <w:rsid w:val="00AD5A9E"/>
    <w:rsid w:val="00AD5B80"/>
    <w:rsid w:val="00AD5C5D"/>
    <w:rsid w:val="00AD5DD2"/>
    <w:rsid w:val="00AD62C2"/>
    <w:rsid w:val="00AD665C"/>
    <w:rsid w:val="00AD67FA"/>
    <w:rsid w:val="00AD690E"/>
    <w:rsid w:val="00AD703E"/>
    <w:rsid w:val="00AD7BD0"/>
    <w:rsid w:val="00AD7D3D"/>
    <w:rsid w:val="00AD7EE9"/>
    <w:rsid w:val="00AE0085"/>
    <w:rsid w:val="00AE00BF"/>
    <w:rsid w:val="00AE02A3"/>
    <w:rsid w:val="00AE0555"/>
    <w:rsid w:val="00AE080C"/>
    <w:rsid w:val="00AE0C34"/>
    <w:rsid w:val="00AE0CA9"/>
    <w:rsid w:val="00AE0E1E"/>
    <w:rsid w:val="00AE102F"/>
    <w:rsid w:val="00AE115E"/>
    <w:rsid w:val="00AE18BB"/>
    <w:rsid w:val="00AE192C"/>
    <w:rsid w:val="00AE1A77"/>
    <w:rsid w:val="00AE2386"/>
    <w:rsid w:val="00AE2AAF"/>
    <w:rsid w:val="00AE2C5F"/>
    <w:rsid w:val="00AE2E28"/>
    <w:rsid w:val="00AE31CE"/>
    <w:rsid w:val="00AE32EE"/>
    <w:rsid w:val="00AE3404"/>
    <w:rsid w:val="00AE36A5"/>
    <w:rsid w:val="00AE39EE"/>
    <w:rsid w:val="00AE3A82"/>
    <w:rsid w:val="00AE3D22"/>
    <w:rsid w:val="00AE3D45"/>
    <w:rsid w:val="00AE4A5D"/>
    <w:rsid w:val="00AE4B51"/>
    <w:rsid w:val="00AE53D8"/>
    <w:rsid w:val="00AE5CBC"/>
    <w:rsid w:val="00AE67BF"/>
    <w:rsid w:val="00AE68AC"/>
    <w:rsid w:val="00AE6FC5"/>
    <w:rsid w:val="00AE7138"/>
    <w:rsid w:val="00AE782D"/>
    <w:rsid w:val="00AF0197"/>
    <w:rsid w:val="00AF0622"/>
    <w:rsid w:val="00AF0A3D"/>
    <w:rsid w:val="00AF0C08"/>
    <w:rsid w:val="00AF0DD8"/>
    <w:rsid w:val="00AF109B"/>
    <w:rsid w:val="00AF20C9"/>
    <w:rsid w:val="00AF2734"/>
    <w:rsid w:val="00AF2751"/>
    <w:rsid w:val="00AF282A"/>
    <w:rsid w:val="00AF2A29"/>
    <w:rsid w:val="00AF2C8D"/>
    <w:rsid w:val="00AF2CE2"/>
    <w:rsid w:val="00AF2E8B"/>
    <w:rsid w:val="00AF331D"/>
    <w:rsid w:val="00AF349E"/>
    <w:rsid w:val="00AF3904"/>
    <w:rsid w:val="00AF39ED"/>
    <w:rsid w:val="00AF4073"/>
    <w:rsid w:val="00AF4517"/>
    <w:rsid w:val="00AF454D"/>
    <w:rsid w:val="00AF458F"/>
    <w:rsid w:val="00AF49A4"/>
    <w:rsid w:val="00AF4A2D"/>
    <w:rsid w:val="00AF53AB"/>
    <w:rsid w:val="00AF6224"/>
    <w:rsid w:val="00AF6465"/>
    <w:rsid w:val="00AF6595"/>
    <w:rsid w:val="00AF6713"/>
    <w:rsid w:val="00AF6B54"/>
    <w:rsid w:val="00AF7083"/>
    <w:rsid w:val="00AF761F"/>
    <w:rsid w:val="00AF768F"/>
    <w:rsid w:val="00AF7BC2"/>
    <w:rsid w:val="00AF7C97"/>
    <w:rsid w:val="00B001BD"/>
    <w:rsid w:val="00B0025F"/>
    <w:rsid w:val="00B00659"/>
    <w:rsid w:val="00B006E4"/>
    <w:rsid w:val="00B008A1"/>
    <w:rsid w:val="00B00B06"/>
    <w:rsid w:val="00B00B47"/>
    <w:rsid w:val="00B0129E"/>
    <w:rsid w:val="00B013F6"/>
    <w:rsid w:val="00B014BD"/>
    <w:rsid w:val="00B019E2"/>
    <w:rsid w:val="00B01B61"/>
    <w:rsid w:val="00B01C1A"/>
    <w:rsid w:val="00B01D99"/>
    <w:rsid w:val="00B01E99"/>
    <w:rsid w:val="00B02680"/>
    <w:rsid w:val="00B02CCE"/>
    <w:rsid w:val="00B02EAE"/>
    <w:rsid w:val="00B02F23"/>
    <w:rsid w:val="00B034B5"/>
    <w:rsid w:val="00B035F4"/>
    <w:rsid w:val="00B0371C"/>
    <w:rsid w:val="00B03904"/>
    <w:rsid w:val="00B03F9F"/>
    <w:rsid w:val="00B04092"/>
    <w:rsid w:val="00B041D4"/>
    <w:rsid w:val="00B04997"/>
    <w:rsid w:val="00B04AE1"/>
    <w:rsid w:val="00B04C93"/>
    <w:rsid w:val="00B04DB1"/>
    <w:rsid w:val="00B05057"/>
    <w:rsid w:val="00B05949"/>
    <w:rsid w:val="00B05F36"/>
    <w:rsid w:val="00B064C4"/>
    <w:rsid w:val="00B06C69"/>
    <w:rsid w:val="00B06DFB"/>
    <w:rsid w:val="00B0711A"/>
    <w:rsid w:val="00B079D3"/>
    <w:rsid w:val="00B07D5B"/>
    <w:rsid w:val="00B07E92"/>
    <w:rsid w:val="00B100A1"/>
    <w:rsid w:val="00B1049B"/>
    <w:rsid w:val="00B105E2"/>
    <w:rsid w:val="00B10CBB"/>
    <w:rsid w:val="00B1142B"/>
    <w:rsid w:val="00B116DD"/>
    <w:rsid w:val="00B11E3C"/>
    <w:rsid w:val="00B1205D"/>
    <w:rsid w:val="00B1258C"/>
    <w:rsid w:val="00B12766"/>
    <w:rsid w:val="00B127C0"/>
    <w:rsid w:val="00B12A8C"/>
    <w:rsid w:val="00B12D88"/>
    <w:rsid w:val="00B12DCE"/>
    <w:rsid w:val="00B13704"/>
    <w:rsid w:val="00B137F0"/>
    <w:rsid w:val="00B138A5"/>
    <w:rsid w:val="00B13A3A"/>
    <w:rsid w:val="00B13C46"/>
    <w:rsid w:val="00B14438"/>
    <w:rsid w:val="00B150FD"/>
    <w:rsid w:val="00B1535B"/>
    <w:rsid w:val="00B154A6"/>
    <w:rsid w:val="00B15F7F"/>
    <w:rsid w:val="00B16C47"/>
    <w:rsid w:val="00B16DB1"/>
    <w:rsid w:val="00B17602"/>
    <w:rsid w:val="00B17723"/>
    <w:rsid w:val="00B17782"/>
    <w:rsid w:val="00B17905"/>
    <w:rsid w:val="00B2015C"/>
    <w:rsid w:val="00B20775"/>
    <w:rsid w:val="00B208DC"/>
    <w:rsid w:val="00B20BC0"/>
    <w:rsid w:val="00B2111B"/>
    <w:rsid w:val="00B215F9"/>
    <w:rsid w:val="00B216BD"/>
    <w:rsid w:val="00B216F5"/>
    <w:rsid w:val="00B219C8"/>
    <w:rsid w:val="00B21C91"/>
    <w:rsid w:val="00B221D2"/>
    <w:rsid w:val="00B221D3"/>
    <w:rsid w:val="00B22312"/>
    <w:rsid w:val="00B22568"/>
    <w:rsid w:val="00B226A8"/>
    <w:rsid w:val="00B22E11"/>
    <w:rsid w:val="00B22F70"/>
    <w:rsid w:val="00B23A3D"/>
    <w:rsid w:val="00B243A9"/>
    <w:rsid w:val="00B25164"/>
    <w:rsid w:val="00B260C2"/>
    <w:rsid w:val="00B2664D"/>
    <w:rsid w:val="00B2673C"/>
    <w:rsid w:val="00B26D79"/>
    <w:rsid w:val="00B26EFE"/>
    <w:rsid w:val="00B2731F"/>
    <w:rsid w:val="00B27410"/>
    <w:rsid w:val="00B27505"/>
    <w:rsid w:val="00B30AC0"/>
    <w:rsid w:val="00B30CE0"/>
    <w:rsid w:val="00B30E8D"/>
    <w:rsid w:val="00B3131C"/>
    <w:rsid w:val="00B3142E"/>
    <w:rsid w:val="00B31A43"/>
    <w:rsid w:val="00B31EA0"/>
    <w:rsid w:val="00B31EA1"/>
    <w:rsid w:val="00B32184"/>
    <w:rsid w:val="00B3224D"/>
    <w:rsid w:val="00B32DD3"/>
    <w:rsid w:val="00B331FB"/>
    <w:rsid w:val="00B333EB"/>
    <w:rsid w:val="00B3354E"/>
    <w:rsid w:val="00B3368E"/>
    <w:rsid w:val="00B33ED8"/>
    <w:rsid w:val="00B34278"/>
    <w:rsid w:val="00B3433A"/>
    <w:rsid w:val="00B34526"/>
    <w:rsid w:val="00B34A1A"/>
    <w:rsid w:val="00B34CF1"/>
    <w:rsid w:val="00B34CF5"/>
    <w:rsid w:val="00B3512D"/>
    <w:rsid w:val="00B3529D"/>
    <w:rsid w:val="00B3556D"/>
    <w:rsid w:val="00B35905"/>
    <w:rsid w:val="00B35CAC"/>
    <w:rsid w:val="00B35E70"/>
    <w:rsid w:val="00B35F4E"/>
    <w:rsid w:val="00B360D7"/>
    <w:rsid w:val="00B361AF"/>
    <w:rsid w:val="00B363B8"/>
    <w:rsid w:val="00B364C9"/>
    <w:rsid w:val="00B3668A"/>
    <w:rsid w:val="00B367B9"/>
    <w:rsid w:val="00B36CD5"/>
    <w:rsid w:val="00B36FC1"/>
    <w:rsid w:val="00B37591"/>
    <w:rsid w:val="00B37BE8"/>
    <w:rsid w:val="00B37C6A"/>
    <w:rsid w:val="00B407A7"/>
    <w:rsid w:val="00B4157A"/>
    <w:rsid w:val="00B41762"/>
    <w:rsid w:val="00B422D4"/>
    <w:rsid w:val="00B423AA"/>
    <w:rsid w:val="00B42931"/>
    <w:rsid w:val="00B435A0"/>
    <w:rsid w:val="00B43692"/>
    <w:rsid w:val="00B438CA"/>
    <w:rsid w:val="00B43AF3"/>
    <w:rsid w:val="00B44952"/>
    <w:rsid w:val="00B44BC2"/>
    <w:rsid w:val="00B44E17"/>
    <w:rsid w:val="00B4531E"/>
    <w:rsid w:val="00B455D4"/>
    <w:rsid w:val="00B45D4A"/>
    <w:rsid w:val="00B45D4E"/>
    <w:rsid w:val="00B46E79"/>
    <w:rsid w:val="00B46FFE"/>
    <w:rsid w:val="00B47369"/>
    <w:rsid w:val="00B47B82"/>
    <w:rsid w:val="00B47C32"/>
    <w:rsid w:val="00B50171"/>
    <w:rsid w:val="00B501CF"/>
    <w:rsid w:val="00B50577"/>
    <w:rsid w:val="00B50837"/>
    <w:rsid w:val="00B50C69"/>
    <w:rsid w:val="00B50E3C"/>
    <w:rsid w:val="00B50E76"/>
    <w:rsid w:val="00B5168D"/>
    <w:rsid w:val="00B51A16"/>
    <w:rsid w:val="00B51C20"/>
    <w:rsid w:val="00B51F3C"/>
    <w:rsid w:val="00B522A2"/>
    <w:rsid w:val="00B52419"/>
    <w:rsid w:val="00B52489"/>
    <w:rsid w:val="00B5284E"/>
    <w:rsid w:val="00B529F6"/>
    <w:rsid w:val="00B52C01"/>
    <w:rsid w:val="00B53205"/>
    <w:rsid w:val="00B53492"/>
    <w:rsid w:val="00B535C9"/>
    <w:rsid w:val="00B53677"/>
    <w:rsid w:val="00B539CC"/>
    <w:rsid w:val="00B53A67"/>
    <w:rsid w:val="00B53B61"/>
    <w:rsid w:val="00B53D76"/>
    <w:rsid w:val="00B53EF1"/>
    <w:rsid w:val="00B5409A"/>
    <w:rsid w:val="00B54190"/>
    <w:rsid w:val="00B54309"/>
    <w:rsid w:val="00B543F0"/>
    <w:rsid w:val="00B54455"/>
    <w:rsid w:val="00B5484B"/>
    <w:rsid w:val="00B54BC3"/>
    <w:rsid w:val="00B54CA9"/>
    <w:rsid w:val="00B55319"/>
    <w:rsid w:val="00B5574C"/>
    <w:rsid w:val="00B55CD4"/>
    <w:rsid w:val="00B565AD"/>
    <w:rsid w:val="00B5717A"/>
    <w:rsid w:val="00B57A89"/>
    <w:rsid w:val="00B57D35"/>
    <w:rsid w:val="00B57E54"/>
    <w:rsid w:val="00B57EC9"/>
    <w:rsid w:val="00B60661"/>
    <w:rsid w:val="00B60F1B"/>
    <w:rsid w:val="00B61045"/>
    <w:rsid w:val="00B6129D"/>
    <w:rsid w:val="00B61561"/>
    <w:rsid w:val="00B615AB"/>
    <w:rsid w:val="00B61633"/>
    <w:rsid w:val="00B61784"/>
    <w:rsid w:val="00B6179E"/>
    <w:rsid w:val="00B61823"/>
    <w:rsid w:val="00B61EF6"/>
    <w:rsid w:val="00B625C0"/>
    <w:rsid w:val="00B627B9"/>
    <w:rsid w:val="00B62B3E"/>
    <w:rsid w:val="00B63021"/>
    <w:rsid w:val="00B6328E"/>
    <w:rsid w:val="00B63381"/>
    <w:rsid w:val="00B63B2D"/>
    <w:rsid w:val="00B63C58"/>
    <w:rsid w:val="00B63E9F"/>
    <w:rsid w:val="00B645E7"/>
    <w:rsid w:val="00B649ED"/>
    <w:rsid w:val="00B64BC1"/>
    <w:rsid w:val="00B64CB5"/>
    <w:rsid w:val="00B6500A"/>
    <w:rsid w:val="00B653AA"/>
    <w:rsid w:val="00B657D0"/>
    <w:rsid w:val="00B65EE3"/>
    <w:rsid w:val="00B66139"/>
    <w:rsid w:val="00B66197"/>
    <w:rsid w:val="00B662D7"/>
    <w:rsid w:val="00B66644"/>
    <w:rsid w:val="00B66A1F"/>
    <w:rsid w:val="00B672AA"/>
    <w:rsid w:val="00B67827"/>
    <w:rsid w:val="00B67AFC"/>
    <w:rsid w:val="00B67C4F"/>
    <w:rsid w:val="00B7018C"/>
    <w:rsid w:val="00B703FA"/>
    <w:rsid w:val="00B7040B"/>
    <w:rsid w:val="00B708A5"/>
    <w:rsid w:val="00B70C6D"/>
    <w:rsid w:val="00B70F4C"/>
    <w:rsid w:val="00B711CE"/>
    <w:rsid w:val="00B71393"/>
    <w:rsid w:val="00B714E8"/>
    <w:rsid w:val="00B71707"/>
    <w:rsid w:val="00B718D3"/>
    <w:rsid w:val="00B71AA5"/>
    <w:rsid w:val="00B71FB1"/>
    <w:rsid w:val="00B72010"/>
    <w:rsid w:val="00B72168"/>
    <w:rsid w:val="00B72491"/>
    <w:rsid w:val="00B724A1"/>
    <w:rsid w:val="00B72672"/>
    <w:rsid w:val="00B72A0A"/>
    <w:rsid w:val="00B72B0D"/>
    <w:rsid w:val="00B72BBB"/>
    <w:rsid w:val="00B73012"/>
    <w:rsid w:val="00B732B8"/>
    <w:rsid w:val="00B740A3"/>
    <w:rsid w:val="00B741C1"/>
    <w:rsid w:val="00B74749"/>
    <w:rsid w:val="00B74E2D"/>
    <w:rsid w:val="00B75253"/>
    <w:rsid w:val="00B75C12"/>
    <w:rsid w:val="00B75CD0"/>
    <w:rsid w:val="00B75EA5"/>
    <w:rsid w:val="00B762D1"/>
    <w:rsid w:val="00B76416"/>
    <w:rsid w:val="00B764BC"/>
    <w:rsid w:val="00B76D11"/>
    <w:rsid w:val="00B776AD"/>
    <w:rsid w:val="00B77A06"/>
    <w:rsid w:val="00B77D1B"/>
    <w:rsid w:val="00B805F4"/>
    <w:rsid w:val="00B81B13"/>
    <w:rsid w:val="00B82134"/>
    <w:rsid w:val="00B82361"/>
    <w:rsid w:val="00B823EA"/>
    <w:rsid w:val="00B825FB"/>
    <w:rsid w:val="00B8263C"/>
    <w:rsid w:val="00B82727"/>
    <w:rsid w:val="00B827BD"/>
    <w:rsid w:val="00B82ABD"/>
    <w:rsid w:val="00B83173"/>
    <w:rsid w:val="00B83360"/>
    <w:rsid w:val="00B83563"/>
    <w:rsid w:val="00B83CA2"/>
    <w:rsid w:val="00B84046"/>
    <w:rsid w:val="00B8410A"/>
    <w:rsid w:val="00B847FA"/>
    <w:rsid w:val="00B848DA"/>
    <w:rsid w:val="00B84EF9"/>
    <w:rsid w:val="00B85844"/>
    <w:rsid w:val="00B85976"/>
    <w:rsid w:val="00B859F2"/>
    <w:rsid w:val="00B868AE"/>
    <w:rsid w:val="00B86916"/>
    <w:rsid w:val="00B86A1E"/>
    <w:rsid w:val="00B86F60"/>
    <w:rsid w:val="00B876CB"/>
    <w:rsid w:val="00B87FCA"/>
    <w:rsid w:val="00B900FC"/>
    <w:rsid w:val="00B90A54"/>
    <w:rsid w:val="00B90C4F"/>
    <w:rsid w:val="00B90CF2"/>
    <w:rsid w:val="00B90EC4"/>
    <w:rsid w:val="00B90F84"/>
    <w:rsid w:val="00B924E7"/>
    <w:rsid w:val="00B9253B"/>
    <w:rsid w:val="00B926D3"/>
    <w:rsid w:val="00B927DD"/>
    <w:rsid w:val="00B929D5"/>
    <w:rsid w:val="00B93440"/>
    <w:rsid w:val="00B9359A"/>
    <w:rsid w:val="00B93828"/>
    <w:rsid w:val="00B93980"/>
    <w:rsid w:val="00B93B26"/>
    <w:rsid w:val="00B9445E"/>
    <w:rsid w:val="00B94777"/>
    <w:rsid w:val="00B947C5"/>
    <w:rsid w:val="00B947F4"/>
    <w:rsid w:val="00B9486B"/>
    <w:rsid w:val="00B95686"/>
    <w:rsid w:val="00B95B70"/>
    <w:rsid w:val="00B96163"/>
    <w:rsid w:val="00B967C4"/>
    <w:rsid w:val="00B969AB"/>
    <w:rsid w:val="00B96BC2"/>
    <w:rsid w:val="00B96C4B"/>
    <w:rsid w:val="00B97069"/>
    <w:rsid w:val="00B9753A"/>
    <w:rsid w:val="00B97879"/>
    <w:rsid w:val="00B97938"/>
    <w:rsid w:val="00B97DB7"/>
    <w:rsid w:val="00B97EFE"/>
    <w:rsid w:val="00BA005F"/>
    <w:rsid w:val="00BA0481"/>
    <w:rsid w:val="00BA0952"/>
    <w:rsid w:val="00BA0B3C"/>
    <w:rsid w:val="00BA0CA8"/>
    <w:rsid w:val="00BA0DEE"/>
    <w:rsid w:val="00BA0E64"/>
    <w:rsid w:val="00BA18A9"/>
    <w:rsid w:val="00BA1D37"/>
    <w:rsid w:val="00BA21ED"/>
    <w:rsid w:val="00BA2C46"/>
    <w:rsid w:val="00BA2C94"/>
    <w:rsid w:val="00BA2DA0"/>
    <w:rsid w:val="00BA2EC3"/>
    <w:rsid w:val="00BA31D9"/>
    <w:rsid w:val="00BA3544"/>
    <w:rsid w:val="00BA3669"/>
    <w:rsid w:val="00BA431E"/>
    <w:rsid w:val="00BA4502"/>
    <w:rsid w:val="00BA4592"/>
    <w:rsid w:val="00BA4881"/>
    <w:rsid w:val="00BA49C8"/>
    <w:rsid w:val="00BA5343"/>
    <w:rsid w:val="00BA59C1"/>
    <w:rsid w:val="00BA5DFA"/>
    <w:rsid w:val="00BA6654"/>
    <w:rsid w:val="00BA67FD"/>
    <w:rsid w:val="00BA70A0"/>
    <w:rsid w:val="00BA73EA"/>
    <w:rsid w:val="00BA744C"/>
    <w:rsid w:val="00BA7503"/>
    <w:rsid w:val="00BA7784"/>
    <w:rsid w:val="00BA7847"/>
    <w:rsid w:val="00BB008F"/>
    <w:rsid w:val="00BB07B8"/>
    <w:rsid w:val="00BB10D6"/>
    <w:rsid w:val="00BB17F4"/>
    <w:rsid w:val="00BB23F1"/>
    <w:rsid w:val="00BB2558"/>
    <w:rsid w:val="00BB257B"/>
    <w:rsid w:val="00BB292F"/>
    <w:rsid w:val="00BB2BFF"/>
    <w:rsid w:val="00BB2F4C"/>
    <w:rsid w:val="00BB306A"/>
    <w:rsid w:val="00BB32AD"/>
    <w:rsid w:val="00BB35D9"/>
    <w:rsid w:val="00BB3A59"/>
    <w:rsid w:val="00BB429D"/>
    <w:rsid w:val="00BB4543"/>
    <w:rsid w:val="00BB4631"/>
    <w:rsid w:val="00BB52DC"/>
    <w:rsid w:val="00BB5C7C"/>
    <w:rsid w:val="00BB67F2"/>
    <w:rsid w:val="00BB6E77"/>
    <w:rsid w:val="00BB76B1"/>
    <w:rsid w:val="00BB785B"/>
    <w:rsid w:val="00BB7B2E"/>
    <w:rsid w:val="00BB7BFA"/>
    <w:rsid w:val="00BB7E2A"/>
    <w:rsid w:val="00BC0156"/>
    <w:rsid w:val="00BC0260"/>
    <w:rsid w:val="00BC0368"/>
    <w:rsid w:val="00BC11A5"/>
    <w:rsid w:val="00BC136C"/>
    <w:rsid w:val="00BC14F7"/>
    <w:rsid w:val="00BC15E8"/>
    <w:rsid w:val="00BC1878"/>
    <w:rsid w:val="00BC1CEA"/>
    <w:rsid w:val="00BC1D3D"/>
    <w:rsid w:val="00BC1DA5"/>
    <w:rsid w:val="00BC20D8"/>
    <w:rsid w:val="00BC2987"/>
    <w:rsid w:val="00BC2C7F"/>
    <w:rsid w:val="00BC2CBC"/>
    <w:rsid w:val="00BC2D02"/>
    <w:rsid w:val="00BC2DFE"/>
    <w:rsid w:val="00BC3921"/>
    <w:rsid w:val="00BC3BB0"/>
    <w:rsid w:val="00BC3E90"/>
    <w:rsid w:val="00BC3FAA"/>
    <w:rsid w:val="00BC44C3"/>
    <w:rsid w:val="00BC4586"/>
    <w:rsid w:val="00BC45ED"/>
    <w:rsid w:val="00BC4DB8"/>
    <w:rsid w:val="00BC55FF"/>
    <w:rsid w:val="00BC5E95"/>
    <w:rsid w:val="00BC5F90"/>
    <w:rsid w:val="00BC619A"/>
    <w:rsid w:val="00BC61DD"/>
    <w:rsid w:val="00BC691B"/>
    <w:rsid w:val="00BC6A33"/>
    <w:rsid w:val="00BC6C0D"/>
    <w:rsid w:val="00BC6F80"/>
    <w:rsid w:val="00BC721E"/>
    <w:rsid w:val="00BC77D0"/>
    <w:rsid w:val="00BC7ACB"/>
    <w:rsid w:val="00BC7B0C"/>
    <w:rsid w:val="00BC7B73"/>
    <w:rsid w:val="00BC7F0D"/>
    <w:rsid w:val="00BD00AD"/>
    <w:rsid w:val="00BD0C56"/>
    <w:rsid w:val="00BD12A6"/>
    <w:rsid w:val="00BD1402"/>
    <w:rsid w:val="00BD1869"/>
    <w:rsid w:val="00BD19F2"/>
    <w:rsid w:val="00BD1B26"/>
    <w:rsid w:val="00BD1B9F"/>
    <w:rsid w:val="00BD1C9E"/>
    <w:rsid w:val="00BD1CCE"/>
    <w:rsid w:val="00BD2BAF"/>
    <w:rsid w:val="00BD2BE8"/>
    <w:rsid w:val="00BD2F57"/>
    <w:rsid w:val="00BD31A0"/>
    <w:rsid w:val="00BD3470"/>
    <w:rsid w:val="00BD34BF"/>
    <w:rsid w:val="00BD34CB"/>
    <w:rsid w:val="00BD38CB"/>
    <w:rsid w:val="00BD3CBC"/>
    <w:rsid w:val="00BD4170"/>
    <w:rsid w:val="00BD41DA"/>
    <w:rsid w:val="00BD4384"/>
    <w:rsid w:val="00BD47AA"/>
    <w:rsid w:val="00BD5153"/>
    <w:rsid w:val="00BD5522"/>
    <w:rsid w:val="00BD5EA8"/>
    <w:rsid w:val="00BD72FA"/>
    <w:rsid w:val="00BD7499"/>
    <w:rsid w:val="00BD7977"/>
    <w:rsid w:val="00BE01A0"/>
    <w:rsid w:val="00BE0CB4"/>
    <w:rsid w:val="00BE0EFF"/>
    <w:rsid w:val="00BE129E"/>
    <w:rsid w:val="00BE13EE"/>
    <w:rsid w:val="00BE1894"/>
    <w:rsid w:val="00BE19D4"/>
    <w:rsid w:val="00BE2086"/>
    <w:rsid w:val="00BE2766"/>
    <w:rsid w:val="00BE2891"/>
    <w:rsid w:val="00BE2B7C"/>
    <w:rsid w:val="00BE2C18"/>
    <w:rsid w:val="00BE323A"/>
    <w:rsid w:val="00BE390B"/>
    <w:rsid w:val="00BE395B"/>
    <w:rsid w:val="00BE3B2A"/>
    <w:rsid w:val="00BE3BF4"/>
    <w:rsid w:val="00BE3E2E"/>
    <w:rsid w:val="00BE4409"/>
    <w:rsid w:val="00BE4430"/>
    <w:rsid w:val="00BE44FC"/>
    <w:rsid w:val="00BE457D"/>
    <w:rsid w:val="00BE45BE"/>
    <w:rsid w:val="00BE5697"/>
    <w:rsid w:val="00BE56DB"/>
    <w:rsid w:val="00BE5DB5"/>
    <w:rsid w:val="00BE65A6"/>
    <w:rsid w:val="00BE672B"/>
    <w:rsid w:val="00BE674E"/>
    <w:rsid w:val="00BE706B"/>
    <w:rsid w:val="00BE733F"/>
    <w:rsid w:val="00BE75AE"/>
    <w:rsid w:val="00BE7DCD"/>
    <w:rsid w:val="00BF03C3"/>
    <w:rsid w:val="00BF0804"/>
    <w:rsid w:val="00BF0838"/>
    <w:rsid w:val="00BF0AAF"/>
    <w:rsid w:val="00BF0ACA"/>
    <w:rsid w:val="00BF0FE2"/>
    <w:rsid w:val="00BF185C"/>
    <w:rsid w:val="00BF1866"/>
    <w:rsid w:val="00BF1A3A"/>
    <w:rsid w:val="00BF1BE4"/>
    <w:rsid w:val="00BF24D3"/>
    <w:rsid w:val="00BF2581"/>
    <w:rsid w:val="00BF2A80"/>
    <w:rsid w:val="00BF3603"/>
    <w:rsid w:val="00BF3B38"/>
    <w:rsid w:val="00BF3C5E"/>
    <w:rsid w:val="00BF4054"/>
    <w:rsid w:val="00BF4833"/>
    <w:rsid w:val="00BF4BE8"/>
    <w:rsid w:val="00BF4C00"/>
    <w:rsid w:val="00BF4F74"/>
    <w:rsid w:val="00BF516C"/>
    <w:rsid w:val="00BF5594"/>
    <w:rsid w:val="00BF5641"/>
    <w:rsid w:val="00BF57BE"/>
    <w:rsid w:val="00BF5853"/>
    <w:rsid w:val="00BF60E4"/>
    <w:rsid w:val="00BF64D4"/>
    <w:rsid w:val="00BF6DD7"/>
    <w:rsid w:val="00BF6FAE"/>
    <w:rsid w:val="00BF7083"/>
    <w:rsid w:val="00BF711F"/>
    <w:rsid w:val="00BF72C7"/>
    <w:rsid w:val="00BF774F"/>
    <w:rsid w:val="00BF7761"/>
    <w:rsid w:val="00BF79A7"/>
    <w:rsid w:val="00BF7EB3"/>
    <w:rsid w:val="00BF7F7C"/>
    <w:rsid w:val="00BF7FCF"/>
    <w:rsid w:val="00C002F6"/>
    <w:rsid w:val="00C003B8"/>
    <w:rsid w:val="00C00659"/>
    <w:rsid w:val="00C00AEE"/>
    <w:rsid w:val="00C010F5"/>
    <w:rsid w:val="00C01DF4"/>
    <w:rsid w:val="00C027CC"/>
    <w:rsid w:val="00C03189"/>
    <w:rsid w:val="00C03436"/>
    <w:rsid w:val="00C034B9"/>
    <w:rsid w:val="00C03A4F"/>
    <w:rsid w:val="00C048B5"/>
    <w:rsid w:val="00C050D6"/>
    <w:rsid w:val="00C05713"/>
    <w:rsid w:val="00C05F86"/>
    <w:rsid w:val="00C05FCC"/>
    <w:rsid w:val="00C06372"/>
    <w:rsid w:val="00C06402"/>
    <w:rsid w:val="00C06710"/>
    <w:rsid w:val="00C067D5"/>
    <w:rsid w:val="00C06807"/>
    <w:rsid w:val="00C0725B"/>
    <w:rsid w:val="00C075B5"/>
    <w:rsid w:val="00C079FF"/>
    <w:rsid w:val="00C102E6"/>
    <w:rsid w:val="00C10410"/>
    <w:rsid w:val="00C10663"/>
    <w:rsid w:val="00C11379"/>
    <w:rsid w:val="00C1168F"/>
    <w:rsid w:val="00C118E3"/>
    <w:rsid w:val="00C118E6"/>
    <w:rsid w:val="00C11CAE"/>
    <w:rsid w:val="00C11EA4"/>
    <w:rsid w:val="00C12154"/>
    <w:rsid w:val="00C12358"/>
    <w:rsid w:val="00C126E2"/>
    <w:rsid w:val="00C12D3A"/>
    <w:rsid w:val="00C12F4F"/>
    <w:rsid w:val="00C13133"/>
    <w:rsid w:val="00C131D1"/>
    <w:rsid w:val="00C1326B"/>
    <w:rsid w:val="00C1459F"/>
    <w:rsid w:val="00C148C1"/>
    <w:rsid w:val="00C148EC"/>
    <w:rsid w:val="00C14B78"/>
    <w:rsid w:val="00C157ED"/>
    <w:rsid w:val="00C1581A"/>
    <w:rsid w:val="00C15A7F"/>
    <w:rsid w:val="00C15B03"/>
    <w:rsid w:val="00C163AF"/>
    <w:rsid w:val="00C163CB"/>
    <w:rsid w:val="00C1641D"/>
    <w:rsid w:val="00C16420"/>
    <w:rsid w:val="00C16AA7"/>
    <w:rsid w:val="00C16B98"/>
    <w:rsid w:val="00C16FE0"/>
    <w:rsid w:val="00C17122"/>
    <w:rsid w:val="00C172C3"/>
    <w:rsid w:val="00C17362"/>
    <w:rsid w:val="00C173CE"/>
    <w:rsid w:val="00C1744D"/>
    <w:rsid w:val="00C1774C"/>
    <w:rsid w:val="00C179D3"/>
    <w:rsid w:val="00C17B0A"/>
    <w:rsid w:val="00C203AB"/>
    <w:rsid w:val="00C20441"/>
    <w:rsid w:val="00C205FA"/>
    <w:rsid w:val="00C2078C"/>
    <w:rsid w:val="00C20966"/>
    <w:rsid w:val="00C2115C"/>
    <w:rsid w:val="00C211D0"/>
    <w:rsid w:val="00C21421"/>
    <w:rsid w:val="00C21723"/>
    <w:rsid w:val="00C21741"/>
    <w:rsid w:val="00C217B1"/>
    <w:rsid w:val="00C217BC"/>
    <w:rsid w:val="00C21BB3"/>
    <w:rsid w:val="00C22599"/>
    <w:rsid w:val="00C226D3"/>
    <w:rsid w:val="00C2296C"/>
    <w:rsid w:val="00C22D05"/>
    <w:rsid w:val="00C22DDE"/>
    <w:rsid w:val="00C232DF"/>
    <w:rsid w:val="00C23562"/>
    <w:rsid w:val="00C237B3"/>
    <w:rsid w:val="00C24074"/>
    <w:rsid w:val="00C245E1"/>
    <w:rsid w:val="00C247FE"/>
    <w:rsid w:val="00C24863"/>
    <w:rsid w:val="00C24AFD"/>
    <w:rsid w:val="00C24CB6"/>
    <w:rsid w:val="00C26233"/>
    <w:rsid w:val="00C266E5"/>
    <w:rsid w:val="00C27004"/>
    <w:rsid w:val="00C2710C"/>
    <w:rsid w:val="00C27127"/>
    <w:rsid w:val="00C276E8"/>
    <w:rsid w:val="00C27D38"/>
    <w:rsid w:val="00C27D75"/>
    <w:rsid w:val="00C30264"/>
    <w:rsid w:val="00C30714"/>
    <w:rsid w:val="00C30C15"/>
    <w:rsid w:val="00C30F27"/>
    <w:rsid w:val="00C31AD4"/>
    <w:rsid w:val="00C31F99"/>
    <w:rsid w:val="00C32562"/>
    <w:rsid w:val="00C325B3"/>
    <w:rsid w:val="00C32C81"/>
    <w:rsid w:val="00C3301E"/>
    <w:rsid w:val="00C3302F"/>
    <w:rsid w:val="00C342B8"/>
    <w:rsid w:val="00C346EE"/>
    <w:rsid w:val="00C34ACD"/>
    <w:rsid w:val="00C34B7B"/>
    <w:rsid w:val="00C35223"/>
    <w:rsid w:val="00C3527A"/>
    <w:rsid w:val="00C35A73"/>
    <w:rsid w:val="00C35B4C"/>
    <w:rsid w:val="00C35B56"/>
    <w:rsid w:val="00C35FA7"/>
    <w:rsid w:val="00C36186"/>
    <w:rsid w:val="00C36204"/>
    <w:rsid w:val="00C363F1"/>
    <w:rsid w:val="00C366EB"/>
    <w:rsid w:val="00C36F28"/>
    <w:rsid w:val="00C37090"/>
    <w:rsid w:val="00C370FD"/>
    <w:rsid w:val="00C377E6"/>
    <w:rsid w:val="00C37FDC"/>
    <w:rsid w:val="00C40187"/>
    <w:rsid w:val="00C4048D"/>
    <w:rsid w:val="00C40856"/>
    <w:rsid w:val="00C40D64"/>
    <w:rsid w:val="00C4153E"/>
    <w:rsid w:val="00C41992"/>
    <w:rsid w:val="00C41D99"/>
    <w:rsid w:val="00C4224F"/>
    <w:rsid w:val="00C422D0"/>
    <w:rsid w:val="00C427E7"/>
    <w:rsid w:val="00C42901"/>
    <w:rsid w:val="00C42AC6"/>
    <w:rsid w:val="00C42EDB"/>
    <w:rsid w:val="00C434BA"/>
    <w:rsid w:val="00C43A3D"/>
    <w:rsid w:val="00C43DCF"/>
    <w:rsid w:val="00C440BE"/>
    <w:rsid w:val="00C44499"/>
    <w:rsid w:val="00C447DA"/>
    <w:rsid w:val="00C44D0A"/>
    <w:rsid w:val="00C44D1F"/>
    <w:rsid w:val="00C454E7"/>
    <w:rsid w:val="00C455C2"/>
    <w:rsid w:val="00C45665"/>
    <w:rsid w:val="00C4592D"/>
    <w:rsid w:val="00C45C2E"/>
    <w:rsid w:val="00C4616E"/>
    <w:rsid w:val="00C46372"/>
    <w:rsid w:val="00C468FE"/>
    <w:rsid w:val="00C46A57"/>
    <w:rsid w:val="00C46B14"/>
    <w:rsid w:val="00C46D55"/>
    <w:rsid w:val="00C46D90"/>
    <w:rsid w:val="00C46F02"/>
    <w:rsid w:val="00C474DE"/>
    <w:rsid w:val="00C4770C"/>
    <w:rsid w:val="00C47E95"/>
    <w:rsid w:val="00C5004E"/>
    <w:rsid w:val="00C50A1C"/>
    <w:rsid w:val="00C50D16"/>
    <w:rsid w:val="00C50D35"/>
    <w:rsid w:val="00C50E5A"/>
    <w:rsid w:val="00C50F2F"/>
    <w:rsid w:val="00C5112C"/>
    <w:rsid w:val="00C5263E"/>
    <w:rsid w:val="00C52A33"/>
    <w:rsid w:val="00C53239"/>
    <w:rsid w:val="00C53821"/>
    <w:rsid w:val="00C53BFD"/>
    <w:rsid w:val="00C53F4A"/>
    <w:rsid w:val="00C5441C"/>
    <w:rsid w:val="00C54603"/>
    <w:rsid w:val="00C548AD"/>
    <w:rsid w:val="00C55025"/>
    <w:rsid w:val="00C555F2"/>
    <w:rsid w:val="00C5579F"/>
    <w:rsid w:val="00C561AC"/>
    <w:rsid w:val="00C56206"/>
    <w:rsid w:val="00C5747E"/>
    <w:rsid w:val="00C57553"/>
    <w:rsid w:val="00C577CF"/>
    <w:rsid w:val="00C57F1F"/>
    <w:rsid w:val="00C60005"/>
    <w:rsid w:val="00C60347"/>
    <w:rsid w:val="00C604ED"/>
    <w:rsid w:val="00C60510"/>
    <w:rsid w:val="00C6068F"/>
    <w:rsid w:val="00C60B0C"/>
    <w:rsid w:val="00C60D1B"/>
    <w:rsid w:val="00C60DA4"/>
    <w:rsid w:val="00C60DB4"/>
    <w:rsid w:val="00C61243"/>
    <w:rsid w:val="00C61289"/>
    <w:rsid w:val="00C61660"/>
    <w:rsid w:val="00C61999"/>
    <w:rsid w:val="00C61D42"/>
    <w:rsid w:val="00C62581"/>
    <w:rsid w:val="00C62614"/>
    <w:rsid w:val="00C6281F"/>
    <w:rsid w:val="00C62A5F"/>
    <w:rsid w:val="00C62A75"/>
    <w:rsid w:val="00C630B0"/>
    <w:rsid w:val="00C631EB"/>
    <w:rsid w:val="00C6321F"/>
    <w:rsid w:val="00C63DC8"/>
    <w:rsid w:val="00C640E5"/>
    <w:rsid w:val="00C64130"/>
    <w:rsid w:val="00C642C6"/>
    <w:rsid w:val="00C64966"/>
    <w:rsid w:val="00C64A95"/>
    <w:rsid w:val="00C64B9C"/>
    <w:rsid w:val="00C65482"/>
    <w:rsid w:val="00C6578D"/>
    <w:rsid w:val="00C65B3B"/>
    <w:rsid w:val="00C65C79"/>
    <w:rsid w:val="00C66344"/>
    <w:rsid w:val="00C663C6"/>
    <w:rsid w:val="00C6683F"/>
    <w:rsid w:val="00C66973"/>
    <w:rsid w:val="00C66BE3"/>
    <w:rsid w:val="00C66D8D"/>
    <w:rsid w:val="00C67438"/>
    <w:rsid w:val="00C67444"/>
    <w:rsid w:val="00C67789"/>
    <w:rsid w:val="00C67AEF"/>
    <w:rsid w:val="00C700DD"/>
    <w:rsid w:val="00C70477"/>
    <w:rsid w:val="00C70938"/>
    <w:rsid w:val="00C7115A"/>
    <w:rsid w:val="00C712A3"/>
    <w:rsid w:val="00C716D3"/>
    <w:rsid w:val="00C71AD5"/>
    <w:rsid w:val="00C71BC1"/>
    <w:rsid w:val="00C71D89"/>
    <w:rsid w:val="00C721AA"/>
    <w:rsid w:val="00C723EA"/>
    <w:rsid w:val="00C724E4"/>
    <w:rsid w:val="00C72834"/>
    <w:rsid w:val="00C73741"/>
    <w:rsid w:val="00C737FB"/>
    <w:rsid w:val="00C73881"/>
    <w:rsid w:val="00C73E46"/>
    <w:rsid w:val="00C74397"/>
    <w:rsid w:val="00C7459B"/>
    <w:rsid w:val="00C748B5"/>
    <w:rsid w:val="00C75B94"/>
    <w:rsid w:val="00C75DA0"/>
    <w:rsid w:val="00C76052"/>
    <w:rsid w:val="00C761E4"/>
    <w:rsid w:val="00C761F3"/>
    <w:rsid w:val="00C76298"/>
    <w:rsid w:val="00C7640D"/>
    <w:rsid w:val="00C764F9"/>
    <w:rsid w:val="00C766D7"/>
    <w:rsid w:val="00C76945"/>
    <w:rsid w:val="00C76AC1"/>
    <w:rsid w:val="00C76BDD"/>
    <w:rsid w:val="00C778CC"/>
    <w:rsid w:val="00C801B2"/>
    <w:rsid w:val="00C80480"/>
    <w:rsid w:val="00C806AC"/>
    <w:rsid w:val="00C80900"/>
    <w:rsid w:val="00C80C70"/>
    <w:rsid w:val="00C81224"/>
    <w:rsid w:val="00C81281"/>
    <w:rsid w:val="00C816E0"/>
    <w:rsid w:val="00C816EA"/>
    <w:rsid w:val="00C81789"/>
    <w:rsid w:val="00C81D4D"/>
    <w:rsid w:val="00C8200D"/>
    <w:rsid w:val="00C8218C"/>
    <w:rsid w:val="00C82541"/>
    <w:rsid w:val="00C826CF"/>
    <w:rsid w:val="00C8282E"/>
    <w:rsid w:val="00C82889"/>
    <w:rsid w:val="00C82E4E"/>
    <w:rsid w:val="00C82F35"/>
    <w:rsid w:val="00C830FA"/>
    <w:rsid w:val="00C8312F"/>
    <w:rsid w:val="00C8391B"/>
    <w:rsid w:val="00C83BD3"/>
    <w:rsid w:val="00C83C85"/>
    <w:rsid w:val="00C83CB1"/>
    <w:rsid w:val="00C8484F"/>
    <w:rsid w:val="00C852E4"/>
    <w:rsid w:val="00C8550B"/>
    <w:rsid w:val="00C85DE7"/>
    <w:rsid w:val="00C85FC1"/>
    <w:rsid w:val="00C866EB"/>
    <w:rsid w:val="00C878F4"/>
    <w:rsid w:val="00C87977"/>
    <w:rsid w:val="00C87B48"/>
    <w:rsid w:val="00C87E81"/>
    <w:rsid w:val="00C87FBA"/>
    <w:rsid w:val="00C9085C"/>
    <w:rsid w:val="00C90F48"/>
    <w:rsid w:val="00C91399"/>
    <w:rsid w:val="00C913BD"/>
    <w:rsid w:val="00C9144D"/>
    <w:rsid w:val="00C91670"/>
    <w:rsid w:val="00C916A1"/>
    <w:rsid w:val="00C91B14"/>
    <w:rsid w:val="00C91DB8"/>
    <w:rsid w:val="00C92111"/>
    <w:rsid w:val="00C922EC"/>
    <w:rsid w:val="00C92428"/>
    <w:rsid w:val="00C92988"/>
    <w:rsid w:val="00C929BA"/>
    <w:rsid w:val="00C92B54"/>
    <w:rsid w:val="00C92D33"/>
    <w:rsid w:val="00C9378E"/>
    <w:rsid w:val="00C937A9"/>
    <w:rsid w:val="00C93BD4"/>
    <w:rsid w:val="00C946D4"/>
    <w:rsid w:val="00C94A56"/>
    <w:rsid w:val="00C95555"/>
    <w:rsid w:val="00C955D3"/>
    <w:rsid w:val="00C95B94"/>
    <w:rsid w:val="00C95E1F"/>
    <w:rsid w:val="00C95E44"/>
    <w:rsid w:val="00C965C7"/>
    <w:rsid w:val="00C96782"/>
    <w:rsid w:val="00C96C2D"/>
    <w:rsid w:val="00C96F44"/>
    <w:rsid w:val="00C970CD"/>
    <w:rsid w:val="00C97938"/>
    <w:rsid w:val="00C97AF8"/>
    <w:rsid w:val="00C97B0B"/>
    <w:rsid w:val="00C97EE4"/>
    <w:rsid w:val="00CA01B3"/>
    <w:rsid w:val="00CA040D"/>
    <w:rsid w:val="00CA0568"/>
    <w:rsid w:val="00CA0758"/>
    <w:rsid w:val="00CA112C"/>
    <w:rsid w:val="00CA1399"/>
    <w:rsid w:val="00CA1690"/>
    <w:rsid w:val="00CA16C6"/>
    <w:rsid w:val="00CA207D"/>
    <w:rsid w:val="00CA25D5"/>
    <w:rsid w:val="00CA2948"/>
    <w:rsid w:val="00CA29E9"/>
    <w:rsid w:val="00CA2A44"/>
    <w:rsid w:val="00CA2F5B"/>
    <w:rsid w:val="00CA33B7"/>
    <w:rsid w:val="00CA34FA"/>
    <w:rsid w:val="00CA3F49"/>
    <w:rsid w:val="00CA3FBE"/>
    <w:rsid w:val="00CA4124"/>
    <w:rsid w:val="00CA4182"/>
    <w:rsid w:val="00CA459A"/>
    <w:rsid w:val="00CA484E"/>
    <w:rsid w:val="00CA4FC8"/>
    <w:rsid w:val="00CA4FFC"/>
    <w:rsid w:val="00CA5204"/>
    <w:rsid w:val="00CA5C31"/>
    <w:rsid w:val="00CA5E44"/>
    <w:rsid w:val="00CA5F6B"/>
    <w:rsid w:val="00CA60CE"/>
    <w:rsid w:val="00CA61C2"/>
    <w:rsid w:val="00CA6C0F"/>
    <w:rsid w:val="00CA7243"/>
    <w:rsid w:val="00CA7628"/>
    <w:rsid w:val="00CA7829"/>
    <w:rsid w:val="00CA79F1"/>
    <w:rsid w:val="00CA7E3E"/>
    <w:rsid w:val="00CB015E"/>
    <w:rsid w:val="00CB05A2"/>
    <w:rsid w:val="00CB06B7"/>
    <w:rsid w:val="00CB0808"/>
    <w:rsid w:val="00CB0C82"/>
    <w:rsid w:val="00CB0F43"/>
    <w:rsid w:val="00CB20E6"/>
    <w:rsid w:val="00CB22D5"/>
    <w:rsid w:val="00CB24A9"/>
    <w:rsid w:val="00CB254B"/>
    <w:rsid w:val="00CB2657"/>
    <w:rsid w:val="00CB2769"/>
    <w:rsid w:val="00CB28E3"/>
    <w:rsid w:val="00CB34D8"/>
    <w:rsid w:val="00CB35FD"/>
    <w:rsid w:val="00CB3A26"/>
    <w:rsid w:val="00CB3B09"/>
    <w:rsid w:val="00CB3B8B"/>
    <w:rsid w:val="00CB4514"/>
    <w:rsid w:val="00CB49DB"/>
    <w:rsid w:val="00CB4F44"/>
    <w:rsid w:val="00CB4F87"/>
    <w:rsid w:val="00CB50C0"/>
    <w:rsid w:val="00CB5609"/>
    <w:rsid w:val="00CB59A4"/>
    <w:rsid w:val="00CB5C6C"/>
    <w:rsid w:val="00CB5C80"/>
    <w:rsid w:val="00CB67E1"/>
    <w:rsid w:val="00CB6917"/>
    <w:rsid w:val="00CB69BE"/>
    <w:rsid w:val="00CB718F"/>
    <w:rsid w:val="00CB7935"/>
    <w:rsid w:val="00CB7961"/>
    <w:rsid w:val="00CB7A27"/>
    <w:rsid w:val="00CB7A71"/>
    <w:rsid w:val="00CB7BA6"/>
    <w:rsid w:val="00CB7CD8"/>
    <w:rsid w:val="00CB7EF3"/>
    <w:rsid w:val="00CB7F6A"/>
    <w:rsid w:val="00CC0135"/>
    <w:rsid w:val="00CC0624"/>
    <w:rsid w:val="00CC08C0"/>
    <w:rsid w:val="00CC0B0B"/>
    <w:rsid w:val="00CC0D5D"/>
    <w:rsid w:val="00CC0FA0"/>
    <w:rsid w:val="00CC100F"/>
    <w:rsid w:val="00CC2E9C"/>
    <w:rsid w:val="00CC30C2"/>
    <w:rsid w:val="00CC3409"/>
    <w:rsid w:val="00CC39AA"/>
    <w:rsid w:val="00CC3C97"/>
    <w:rsid w:val="00CC41AA"/>
    <w:rsid w:val="00CC44A5"/>
    <w:rsid w:val="00CC4966"/>
    <w:rsid w:val="00CC4AE7"/>
    <w:rsid w:val="00CC4B74"/>
    <w:rsid w:val="00CC4E55"/>
    <w:rsid w:val="00CC5229"/>
    <w:rsid w:val="00CC55C7"/>
    <w:rsid w:val="00CC59D2"/>
    <w:rsid w:val="00CC5C3C"/>
    <w:rsid w:val="00CC70AA"/>
    <w:rsid w:val="00CC713D"/>
    <w:rsid w:val="00CC7573"/>
    <w:rsid w:val="00CC76AA"/>
    <w:rsid w:val="00CC7BB0"/>
    <w:rsid w:val="00CD0023"/>
    <w:rsid w:val="00CD048B"/>
    <w:rsid w:val="00CD04F8"/>
    <w:rsid w:val="00CD1137"/>
    <w:rsid w:val="00CD11DA"/>
    <w:rsid w:val="00CD1674"/>
    <w:rsid w:val="00CD1A5C"/>
    <w:rsid w:val="00CD1CDD"/>
    <w:rsid w:val="00CD1E91"/>
    <w:rsid w:val="00CD1F10"/>
    <w:rsid w:val="00CD20A1"/>
    <w:rsid w:val="00CD2169"/>
    <w:rsid w:val="00CD23C4"/>
    <w:rsid w:val="00CD2B94"/>
    <w:rsid w:val="00CD2FB8"/>
    <w:rsid w:val="00CD3958"/>
    <w:rsid w:val="00CD3A2E"/>
    <w:rsid w:val="00CD3AF5"/>
    <w:rsid w:val="00CD3BAF"/>
    <w:rsid w:val="00CD3C0F"/>
    <w:rsid w:val="00CD3F78"/>
    <w:rsid w:val="00CD420E"/>
    <w:rsid w:val="00CD436C"/>
    <w:rsid w:val="00CD4711"/>
    <w:rsid w:val="00CD4928"/>
    <w:rsid w:val="00CD4E0B"/>
    <w:rsid w:val="00CD50BC"/>
    <w:rsid w:val="00CD5282"/>
    <w:rsid w:val="00CD566C"/>
    <w:rsid w:val="00CD59AB"/>
    <w:rsid w:val="00CD5EB4"/>
    <w:rsid w:val="00CD62C5"/>
    <w:rsid w:val="00CD67D7"/>
    <w:rsid w:val="00CD6EAE"/>
    <w:rsid w:val="00CD71F9"/>
    <w:rsid w:val="00CD772C"/>
    <w:rsid w:val="00CD7D65"/>
    <w:rsid w:val="00CD7E12"/>
    <w:rsid w:val="00CD7F78"/>
    <w:rsid w:val="00CE040D"/>
    <w:rsid w:val="00CE04F6"/>
    <w:rsid w:val="00CE0529"/>
    <w:rsid w:val="00CE0E88"/>
    <w:rsid w:val="00CE0F50"/>
    <w:rsid w:val="00CE10E5"/>
    <w:rsid w:val="00CE11E0"/>
    <w:rsid w:val="00CE12B6"/>
    <w:rsid w:val="00CE13C3"/>
    <w:rsid w:val="00CE1C9E"/>
    <w:rsid w:val="00CE1CDE"/>
    <w:rsid w:val="00CE1F39"/>
    <w:rsid w:val="00CE2B82"/>
    <w:rsid w:val="00CE2C7E"/>
    <w:rsid w:val="00CE2CBF"/>
    <w:rsid w:val="00CE2E8F"/>
    <w:rsid w:val="00CE3063"/>
    <w:rsid w:val="00CE333A"/>
    <w:rsid w:val="00CE3470"/>
    <w:rsid w:val="00CE3543"/>
    <w:rsid w:val="00CE3B81"/>
    <w:rsid w:val="00CE3E72"/>
    <w:rsid w:val="00CE3F4A"/>
    <w:rsid w:val="00CE4361"/>
    <w:rsid w:val="00CE4CDE"/>
    <w:rsid w:val="00CE4FCB"/>
    <w:rsid w:val="00CE4FE9"/>
    <w:rsid w:val="00CE50D1"/>
    <w:rsid w:val="00CE50DE"/>
    <w:rsid w:val="00CE589C"/>
    <w:rsid w:val="00CE5A6B"/>
    <w:rsid w:val="00CE5E44"/>
    <w:rsid w:val="00CE5FC0"/>
    <w:rsid w:val="00CE5FF6"/>
    <w:rsid w:val="00CE65E6"/>
    <w:rsid w:val="00CE672E"/>
    <w:rsid w:val="00CE69C3"/>
    <w:rsid w:val="00CE6B16"/>
    <w:rsid w:val="00CE6BC1"/>
    <w:rsid w:val="00CE6F30"/>
    <w:rsid w:val="00CE7C38"/>
    <w:rsid w:val="00CE7CAB"/>
    <w:rsid w:val="00CF044E"/>
    <w:rsid w:val="00CF106C"/>
    <w:rsid w:val="00CF1432"/>
    <w:rsid w:val="00CF14DF"/>
    <w:rsid w:val="00CF1AE4"/>
    <w:rsid w:val="00CF1B61"/>
    <w:rsid w:val="00CF1BE2"/>
    <w:rsid w:val="00CF231A"/>
    <w:rsid w:val="00CF2507"/>
    <w:rsid w:val="00CF2693"/>
    <w:rsid w:val="00CF2783"/>
    <w:rsid w:val="00CF2FEA"/>
    <w:rsid w:val="00CF3910"/>
    <w:rsid w:val="00CF3BF1"/>
    <w:rsid w:val="00CF3D63"/>
    <w:rsid w:val="00CF3E40"/>
    <w:rsid w:val="00CF46A4"/>
    <w:rsid w:val="00CF46DE"/>
    <w:rsid w:val="00CF5357"/>
    <w:rsid w:val="00CF549F"/>
    <w:rsid w:val="00CF64D7"/>
    <w:rsid w:val="00CF664D"/>
    <w:rsid w:val="00CF6A78"/>
    <w:rsid w:val="00CF7462"/>
    <w:rsid w:val="00CF75C3"/>
    <w:rsid w:val="00CF79EE"/>
    <w:rsid w:val="00D00051"/>
    <w:rsid w:val="00D00FD3"/>
    <w:rsid w:val="00D01085"/>
    <w:rsid w:val="00D01171"/>
    <w:rsid w:val="00D0152A"/>
    <w:rsid w:val="00D017ED"/>
    <w:rsid w:val="00D018AB"/>
    <w:rsid w:val="00D0202F"/>
    <w:rsid w:val="00D022EC"/>
    <w:rsid w:val="00D02532"/>
    <w:rsid w:val="00D027E5"/>
    <w:rsid w:val="00D02A6D"/>
    <w:rsid w:val="00D02B98"/>
    <w:rsid w:val="00D02D5D"/>
    <w:rsid w:val="00D033BB"/>
    <w:rsid w:val="00D0390C"/>
    <w:rsid w:val="00D03E5C"/>
    <w:rsid w:val="00D0452B"/>
    <w:rsid w:val="00D0459B"/>
    <w:rsid w:val="00D04799"/>
    <w:rsid w:val="00D04BAF"/>
    <w:rsid w:val="00D04EB5"/>
    <w:rsid w:val="00D0510C"/>
    <w:rsid w:val="00D0516E"/>
    <w:rsid w:val="00D051F4"/>
    <w:rsid w:val="00D0527F"/>
    <w:rsid w:val="00D056E1"/>
    <w:rsid w:val="00D058AF"/>
    <w:rsid w:val="00D05A17"/>
    <w:rsid w:val="00D05AA6"/>
    <w:rsid w:val="00D05CDF"/>
    <w:rsid w:val="00D05D0F"/>
    <w:rsid w:val="00D05FFC"/>
    <w:rsid w:val="00D06822"/>
    <w:rsid w:val="00D06D1A"/>
    <w:rsid w:val="00D06E25"/>
    <w:rsid w:val="00D06ECC"/>
    <w:rsid w:val="00D07477"/>
    <w:rsid w:val="00D1013F"/>
    <w:rsid w:val="00D10466"/>
    <w:rsid w:val="00D106D8"/>
    <w:rsid w:val="00D107D3"/>
    <w:rsid w:val="00D10B52"/>
    <w:rsid w:val="00D10ED4"/>
    <w:rsid w:val="00D10F9F"/>
    <w:rsid w:val="00D117EB"/>
    <w:rsid w:val="00D119D0"/>
    <w:rsid w:val="00D11A2C"/>
    <w:rsid w:val="00D11D45"/>
    <w:rsid w:val="00D1236B"/>
    <w:rsid w:val="00D12560"/>
    <w:rsid w:val="00D12812"/>
    <w:rsid w:val="00D12F77"/>
    <w:rsid w:val="00D130C6"/>
    <w:rsid w:val="00D13919"/>
    <w:rsid w:val="00D13C34"/>
    <w:rsid w:val="00D13DF4"/>
    <w:rsid w:val="00D1424B"/>
    <w:rsid w:val="00D14BCA"/>
    <w:rsid w:val="00D15D33"/>
    <w:rsid w:val="00D160C7"/>
    <w:rsid w:val="00D164CC"/>
    <w:rsid w:val="00D16CBF"/>
    <w:rsid w:val="00D16DD3"/>
    <w:rsid w:val="00D16F0F"/>
    <w:rsid w:val="00D16F97"/>
    <w:rsid w:val="00D171FF"/>
    <w:rsid w:val="00D172F7"/>
    <w:rsid w:val="00D173FD"/>
    <w:rsid w:val="00D17469"/>
    <w:rsid w:val="00D17D4C"/>
    <w:rsid w:val="00D20384"/>
    <w:rsid w:val="00D20DDF"/>
    <w:rsid w:val="00D21455"/>
    <w:rsid w:val="00D214FF"/>
    <w:rsid w:val="00D2185C"/>
    <w:rsid w:val="00D21F0F"/>
    <w:rsid w:val="00D21F33"/>
    <w:rsid w:val="00D221DC"/>
    <w:rsid w:val="00D22900"/>
    <w:rsid w:val="00D22956"/>
    <w:rsid w:val="00D22D4D"/>
    <w:rsid w:val="00D23099"/>
    <w:rsid w:val="00D23232"/>
    <w:rsid w:val="00D23264"/>
    <w:rsid w:val="00D237B9"/>
    <w:rsid w:val="00D23B9D"/>
    <w:rsid w:val="00D2417D"/>
    <w:rsid w:val="00D246C2"/>
    <w:rsid w:val="00D24A9B"/>
    <w:rsid w:val="00D24AC6"/>
    <w:rsid w:val="00D24D8C"/>
    <w:rsid w:val="00D25375"/>
    <w:rsid w:val="00D2575B"/>
    <w:rsid w:val="00D262FF"/>
    <w:rsid w:val="00D2694F"/>
    <w:rsid w:val="00D26D79"/>
    <w:rsid w:val="00D27309"/>
    <w:rsid w:val="00D2732E"/>
    <w:rsid w:val="00D275AD"/>
    <w:rsid w:val="00D27E93"/>
    <w:rsid w:val="00D3039E"/>
    <w:rsid w:val="00D30786"/>
    <w:rsid w:val="00D3079E"/>
    <w:rsid w:val="00D307AE"/>
    <w:rsid w:val="00D30B91"/>
    <w:rsid w:val="00D311EA"/>
    <w:rsid w:val="00D31DFC"/>
    <w:rsid w:val="00D3236B"/>
    <w:rsid w:val="00D33213"/>
    <w:rsid w:val="00D332D3"/>
    <w:rsid w:val="00D335D4"/>
    <w:rsid w:val="00D33712"/>
    <w:rsid w:val="00D33C15"/>
    <w:rsid w:val="00D33CE2"/>
    <w:rsid w:val="00D33F54"/>
    <w:rsid w:val="00D34536"/>
    <w:rsid w:val="00D34A65"/>
    <w:rsid w:val="00D34B5C"/>
    <w:rsid w:val="00D35B32"/>
    <w:rsid w:val="00D35BAD"/>
    <w:rsid w:val="00D35E93"/>
    <w:rsid w:val="00D36287"/>
    <w:rsid w:val="00D36613"/>
    <w:rsid w:val="00D3752D"/>
    <w:rsid w:val="00D3755D"/>
    <w:rsid w:val="00D376AD"/>
    <w:rsid w:val="00D37754"/>
    <w:rsid w:val="00D3781F"/>
    <w:rsid w:val="00D37A40"/>
    <w:rsid w:val="00D37A8C"/>
    <w:rsid w:val="00D40381"/>
    <w:rsid w:val="00D4047A"/>
    <w:rsid w:val="00D40570"/>
    <w:rsid w:val="00D4069D"/>
    <w:rsid w:val="00D407FA"/>
    <w:rsid w:val="00D40CBD"/>
    <w:rsid w:val="00D413D4"/>
    <w:rsid w:val="00D413DF"/>
    <w:rsid w:val="00D414EA"/>
    <w:rsid w:val="00D4164A"/>
    <w:rsid w:val="00D4168F"/>
    <w:rsid w:val="00D42760"/>
    <w:rsid w:val="00D4297F"/>
    <w:rsid w:val="00D42A2F"/>
    <w:rsid w:val="00D42F71"/>
    <w:rsid w:val="00D4303C"/>
    <w:rsid w:val="00D4324F"/>
    <w:rsid w:val="00D435FF"/>
    <w:rsid w:val="00D43A03"/>
    <w:rsid w:val="00D43DF9"/>
    <w:rsid w:val="00D444E7"/>
    <w:rsid w:val="00D44F1C"/>
    <w:rsid w:val="00D44F9B"/>
    <w:rsid w:val="00D4520A"/>
    <w:rsid w:val="00D4526E"/>
    <w:rsid w:val="00D457BD"/>
    <w:rsid w:val="00D45ABB"/>
    <w:rsid w:val="00D45B2B"/>
    <w:rsid w:val="00D4611C"/>
    <w:rsid w:val="00D46249"/>
    <w:rsid w:val="00D466D4"/>
    <w:rsid w:val="00D46986"/>
    <w:rsid w:val="00D46A94"/>
    <w:rsid w:val="00D470FB"/>
    <w:rsid w:val="00D4728B"/>
    <w:rsid w:val="00D506DA"/>
    <w:rsid w:val="00D50A53"/>
    <w:rsid w:val="00D51530"/>
    <w:rsid w:val="00D519D7"/>
    <w:rsid w:val="00D51C5E"/>
    <w:rsid w:val="00D526E0"/>
    <w:rsid w:val="00D52FAF"/>
    <w:rsid w:val="00D533C3"/>
    <w:rsid w:val="00D5389D"/>
    <w:rsid w:val="00D5395A"/>
    <w:rsid w:val="00D5398B"/>
    <w:rsid w:val="00D53C17"/>
    <w:rsid w:val="00D540BA"/>
    <w:rsid w:val="00D545E9"/>
    <w:rsid w:val="00D54FBC"/>
    <w:rsid w:val="00D556CC"/>
    <w:rsid w:val="00D55A4A"/>
    <w:rsid w:val="00D55B71"/>
    <w:rsid w:val="00D55CDD"/>
    <w:rsid w:val="00D56646"/>
    <w:rsid w:val="00D56B07"/>
    <w:rsid w:val="00D5729E"/>
    <w:rsid w:val="00D60326"/>
    <w:rsid w:val="00D6053E"/>
    <w:rsid w:val="00D61208"/>
    <w:rsid w:val="00D6123A"/>
    <w:rsid w:val="00D62596"/>
    <w:rsid w:val="00D62B5A"/>
    <w:rsid w:val="00D62D83"/>
    <w:rsid w:val="00D62F71"/>
    <w:rsid w:val="00D63161"/>
    <w:rsid w:val="00D631E5"/>
    <w:rsid w:val="00D63798"/>
    <w:rsid w:val="00D64346"/>
    <w:rsid w:val="00D648E2"/>
    <w:rsid w:val="00D64E45"/>
    <w:rsid w:val="00D66176"/>
    <w:rsid w:val="00D6634D"/>
    <w:rsid w:val="00D665BA"/>
    <w:rsid w:val="00D66ABA"/>
    <w:rsid w:val="00D66C72"/>
    <w:rsid w:val="00D66C7F"/>
    <w:rsid w:val="00D66CAA"/>
    <w:rsid w:val="00D679DB"/>
    <w:rsid w:val="00D67BF4"/>
    <w:rsid w:val="00D70DDE"/>
    <w:rsid w:val="00D7103C"/>
    <w:rsid w:val="00D71647"/>
    <w:rsid w:val="00D71A44"/>
    <w:rsid w:val="00D7274F"/>
    <w:rsid w:val="00D729A5"/>
    <w:rsid w:val="00D72B0E"/>
    <w:rsid w:val="00D72FD0"/>
    <w:rsid w:val="00D73341"/>
    <w:rsid w:val="00D739FF"/>
    <w:rsid w:val="00D73AE3"/>
    <w:rsid w:val="00D74655"/>
    <w:rsid w:val="00D74827"/>
    <w:rsid w:val="00D74870"/>
    <w:rsid w:val="00D748C4"/>
    <w:rsid w:val="00D749CA"/>
    <w:rsid w:val="00D749D5"/>
    <w:rsid w:val="00D74E5E"/>
    <w:rsid w:val="00D750D1"/>
    <w:rsid w:val="00D7515D"/>
    <w:rsid w:val="00D7577A"/>
    <w:rsid w:val="00D75F3F"/>
    <w:rsid w:val="00D764A0"/>
    <w:rsid w:val="00D76884"/>
    <w:rsid w:val="00D768B0"/>
    <w:rsid w:val="00D76D22"/>
    <w:rsid w:val="00D76ED7"/>
    <w:rsid w:val="00D777B0"/>
    <w:rsid w:val="00D77823"/>
    <w:rsid w:val="00D8037A"/>
    <w:rsid w:val="00D80396"/>
    <w:rsid w:val="00D8042D"/>
    <w:rsid w:val="00D804DC"/>
    <w:rsid w:val="00D80A5D"/>
    <w:rsid w:val="00D80A8C"/>
    <w:rsid w:val="00D8102E"/>
    <w:rsid w:val="00D81175"/>
    <w:rsid w:val="00D81750"/>
    <w:rsid w:val="00D8187E"/>
    <w:rsid w:val="00D81B01"/>
    <w:rsid w:val="00D81C50"/>
    <w:rsid w:val="00D8242B"/>
    <w:rsid w:val="00D82561"/>
    <w:rsid w:val="00D8280C"/>
    <w:rsid w:val="00D83E67"/>
    <w:rsid w:val="00D84592"/>
    <w:rsid w:val="00D84D49"/>
    <w:rsid w:val="00D85178"/>
    <w:rsid w:val="00D85CF7"/>
    <w:rsid w:val="00D86109"/>
    <w:rsid w:val="00D86378"/>
    <w:rsid w:val="00D865CB"/>
    <w:rsid w:val="00D86D49"/>
    <w:rsid w:val="00D86D9C"/>
    <w:rsid w:val="00D86DCA"/>
    <w:rsid w:val="00D870B0"/>
    <w:rsid w:val="00D8746B"/>
    <w:rsid w:val="00D877E6"/>
    <w:rsid w:val="00D878B1"/>
    <w:rsid w:val="00D879AA"/>
    <w:rsid w:val="00D87B19"/>
    <w:rsid w:val="00D87D20"/>
    <w:rsid w:val="00D87ECC"/>
    <w:rsid w:val="00D87FB4"/>
    <w:rsid w:val="00D9067B"/>
    <w:rsid w:val="00D90787"/>
    <w:rsid w:val="00D90835"/>
    <w:rsid w:val="00D90B83"/>
    <w:rsid w:val="00D90CC3"/>
    <w:rsid w:val="00D90F42"/>
    <w:rsid w:val="00D910A8"/>
    <w:rsid w:val="00D91664"/>
    <w:rsid w:val="00D91672"/>
    <w:rsid w:val="00D919B2"/>
    <w:rsid w:val="00D92043"/>
    <w:rsid w:val="00D9204C"/>
    <w:rsid w:val="00D92186"/>
    <w:rsid w:val="00D922C6"/>
    <w:rsid w:val="00D92428"/>
    <w:rsid w:val="00D92592"/>
    <w:rsid w:val="00D925DD"/>
    <w:rsid w:val="00D9301F"/>
    <w:rsid w:val="00D93039"/>
    <w:rsid w:val="00D931B6"/>
    <w:rsid w:val="00D93410"/>
    <w:rsid w:val="00D93BCC"/>
    <w:rsid w:val="00D9426B"/>
    <w:rsid w:val="00D94550"/>
    <w:rsid w:val="00D947BC"/>
    <w:rsid w:val="00D94D34"/>
    <w:rsid w:val="00D95051"/>
    <w:rsid w:val="00D953E5"/>
    <w:rsid w:val="00D95745"/>
    <w:rsid w:val="00D959D2"/>
    <w:rsid w:val="00D95C60"/>
    <w:rsid w:val="00D960B3"/>
    <w:rsid w:val="00D96431"/>
    <w:rsid w:val="00D96B30"/>
    <w:rsid w:val="00D96B72"/>
    <w:rsid w:val="00D96F76"/>
    <w:rsid w:val="00D970DC"/>
    <w:rsid w:val="00D972D4"/>
    <w:rsid w:val="00D9764D"/>
    <w:rsid w:val="00D9778E"/>
    <w:rsid w:val="00D979F8"/>
    <w:rsid w:val="00DA0092"/>
    <w:rsid w:val="00DA01D9"/>
    <w:rsid w:val="00DA02C1"/>
    <w:rsid w:val="00DA058C"/>
    <w:rsid w:val="00DA165A"/>
    <w:rsid w:val="00DA1E2C"/>
    <w:rsid w:val="00DA1F77"/>
    <w:rsid w:val="00DA1FE7"/>
    <w:rsid w:val="00DA23AD"/>
    <w:rsid w:val="00DA24D1"/>
    <w:rsid w:val="00DA2784"/>
    <w:rsid w:val="00DA2821"/>
    <w:rsid w:val="00DA2961"/>
    <w:rsid w:val="00DA2BA2"/>
    <w:rsid w:val="00DA3943"/>
    <w:rsid w:val="00DA3C1F"/>
    <w:rsid w:val="00DA3CA6"/>
    <w:rsid w:val="00DA3E5E"/>
    <w:rsid w:val="00DA46E8"/>
    <w:rsid w:val="00DA47A6"/>
    <w:rsid w:val="00DA49D6"/>
    <w:rsid w:val="00DA4BF3"/>
    <w:rsid w:val="00DA5156"/>
    <w:rsid w:val="00DA609E"/>
    <w:rsid w:val="00DA66D1"/>
    <w:rsid w:val="00DA6833"/>
    <w:rsid w:val="00DA68B0"/>
    <w:rsid w:val="00DA71DD"/>
    <w:rsid w:val="00DA7710"/>
    <w:rsid w:val="00DA779D"/>
    <w:rsid w:val="00DA780C"/>
    <w:rsid w:val="00DA78F9"/>
    <w:rsid w:val="00DA7AD1"/>
    <w:rsid w:val="00DA7BF2"/>
    <w:rsid w:val="00DA7DF9"/>
    <w:rsid w:val="00DB0103"/>
    <w:rsid w:val="00DB0234"/>
    <w:rsid w:val="00DB0463"/>
    <w:rsid w:val="00DB09B1"/>
    <w:rsid w:val="00DB0F8B"/>
    <w:rsid w:val="00DB1094"/>
    <w:rsid w:val="00DB10F6"/>
    <w:rsid w:val="00DB1376"/>
    <w:rsid w:val="00DB13AE"/>
    <w:rsid w:val="00DB1C2E"/>
    <w:rsid w:val="00DB1D8B"/>
    <w:rsid w:val="00DB2594"/>
    <w:rsid w:val="00DB26ED"/>
    <w:rsid w:val="00DB272C"/>
    <w:rsid w:val="00DB276B"/>
    <w:rsid w:val="00DB2805"/>
    <w:rsid w:val="00DB2C17"/>
    <w:rsid w:val="00DB31CA"/>
    <w:rsid w:val="00DB3213"/>
    <w:rsid w:val="00DB33ED"/>
    <w:rsid w:val="00DB3427"/>
    <w:rsid w:val="00DB35EC"/>
    <w:rsid w:val="00DB381F"/>
    <w:rsid w:val="00DB3D50"/>
    <w:rsid w:val="00DB3E0F"/>
    <w:rsid w:val="00DB43E1"/>
    <w:rsid w:val="00DB46C0"/>
    <w:rsid w:val="00DB48DC"/>
    <w:rsid w:val="00DB493C"/>
    <w:rsid w:val="00DB4B49"/>
    <w:rsid w:val="00DB5547"/>
    <w:rsid w:val="00DB5931"/>
    <w:rsid w:val="00DB5A37"/>
    <w:rsid w:val="00DB5F5A"/>
    <w:rsid w:val="00DB6018"/>
    <w:rsid w:val="00DB617D"/>
    <w:rsid w:val="00DB684C"/>
    <w:rsid w:val="00DB68A5"/>
    <w:rsid w:val="00DB70FE"/>
    <w:rsid w:val="00DB7226"/>
    <w:rsid w:val="00DB731D"/>
    <w:rsid w:val="00DB7353"/>
    <w:rsid w:val="00DB753D"/>
    <w:rsid w:val="00DB7D26"/>
    <w:rsid w:val="00DB7D73"/>
    <w:rsid w:val="00DC01E9"/>
    <w:rsid w:val="00DC04A6"/>
    <w:rsid w:val="00DC04D0"/>
    <w:rsid w:val="00DC0CE6"/>
    <w:rsid w:val="00DC1782"/>
    <w:rsid w:val="00DC2A1C"/>
    <w:rsid w:val="00DC3230"/>
    <w:rsid w:val="00DC366A"/>
    <w:rsid w:val="00DC3D5D"/>
    <w:rsid w:val="00DC3DAE"/>
    <w:rsid w:val="00DC42D0"/>
    <w:rsid w:val="00DC462B"/>
    <w:rsid w:val="00DC4F46"/>
    <w:rsid w:val="00DC546B"/>
    <w:rsid w:val="00DC554E"/>
    <w:rsid w:val="00DC55DF"/>
    <w:rsid w:val="00DC560A"/>
    <w:rsid w:val="00DC57BF"/>
    <w:rsid w:val="00DC5FB5"/>
    <w:rsid w:val="00DC609E"/>
    <w:rsid w:val="00DC6808"/>
    <w:rsid w:val="00DC6B1B"/>
    <w:rsid w:val="00DC6B8D"/>
    <w:rsid w:val="00DC725D"/>
    <w:rsid w:val="00DC7416"/>
    <w:rsid w:val="00DC7488"/>
    <w:rsid w:val="00DC79B3"/>
    <w:rsid w:val="00DC7A68"/>
    <w:rsid w:val="00DC7C44"/>
    <w:rsid w:val="00DD0D37"/>
    <w:rsid w:val="00DD0D61"/>
    <w:rsid w:val="00DD1106"/>
    <w:rsid w:val="00DD15C7"/>
    <w:rsid w:val="00DD1AE9"/>
    <w:rsid w:val="00DD1C94"/>
    <w:rsid w:val="00DD20B1"/>
    <w:rsid w:val="00DD2590"/>
    <w:rsid w:val="00DD262E"/>
    <w:rsid w:val="00DD281C"/>
    <w:rsid w:val="00DD2DEE"/>
    <w:rsid w:val="00DD349C"/>
    <w:rsid w:val="00DD3654"/>
    <w:rsid w:val="00DD40CB"/>
    <w:rsid w:val="00DD4130"/>
    <w:rsid w:val="00DD4252"/>
    <w:rsid w:val="00DD486A"/>
    <w:rsid w:val="00DD4991"/>
    <w:rsid w:val="00DD4CC6"/>
    <w:rsid w:val="00DD4E22"/>
    <w:rsid w:val="00DD4EC6"/>
    <w:rsid w:val="00DD4F70"/>
    <w:rsid w:val="00DD4FC4"/>
    <w:rsid w:val="00DD5044"/>
    <w:rsid w:val="00DD50F1"/>
    <w:rsid w:val="00DD5961"/>
    <w:rsid w:val="00DD5969"/>
    <w:rsid w:val="00DD5A3E"/>
    <w:rsid w:val="00DD6460"/>
    <w:rsid w:val="00DD66EE"/>
    <w:rsid w:val="00DD67C9"/>
    <w:rsid w:val="00DD6A8E"/>
    <w:rsid w:val="00DD6C42"/>
    <w:rsid w:val="00DD6CA5"/>
    <w:rsid w:val="00DD74D2"/>
    <w:rsid w:val="00DD7736"/>
    <w:rsid w:val="00DD7821"/>
    <w:rsid w:val="00DE0600"/>
    <w:rsid w:val="00DE0715"/>
    <w:rsid w:val="00DE0895"/>
    <w:rsid w:val="00DE0B15"/>
    <w:rsid w:val="00DE0BD1"/>
    <w:rsid w:val="00DE0E69"/>
    <w:rsid w:val="00DE1024"/>
    <w:rsid w:val="00DE105E"/>
    <w:rsid w:val="00DE120E"/>
    <w:rsid w:val="00DE1660"/>
    <w:rsid w:val="00DE1979"/>
    <w:rsid w:val="00DE1C62"/>
    <w:rsid w:val="00DE253C"/>
    <w:rsid w:val="00DE2706"/>
    <w:rsid w:val="00DE2A3D"/>
    <w:rsid w:val="00DE2F43"/>
    <w:rsid w:val="00DE342D"/>
    <w:rsid w:val="00DE3647"/>
    <w:rsid w:val="00DE386F"/>
    <w:rsid w:val="00DE3912"/>
    <w:rsid w:val="00DE39ED"/>
    <w:rsid w:val="00DE3C3B"/>
    <w:rsid w:val="00DE3C84"/>
    <w:rsid w:val="00DE40E2"/>
    <w:rsid w:val="00DE434C"/>
    <w:rsid w:val="00DE447F"/>
    <w:rsid w:val="00DE4A86"/>
    <w:rsid w:val="00DE4C9A"/>
    <w:rsid w:val="00DE4D0D"/>
    <w:rsid w:val="00DE58C9"/>
    <w:rsid w:val="00DE6160"/>
    <w:rsid w:val="00DE6B3C"/>
    <w:rsid w:val="00DE6F6A"/>
    <w:rsid w:val="00DE6F87"/>
    <w:rsid w:val="00DE7094"/>
    <w:rsid w:val="00DE715C"/>
    <w:rsid w:val="00DE731C"/>
    <w:rsid w:val="00DE775D"/>
    <w:rsid w:val="00DE7CBF"/>
    <w:rsid w:val="00DF00F1"/>
    <w:rsid w:val="00DF0940"/>
    <w:rsid w:val="00DF0A19"/>
    <w:rsid w:val="00DF0BA4"/>
    <w:rsid w:val="00DF1FE2"/>
    <w:rsid w:val="00DF2B39"/>
    <w:rsid w:val="00DF3076"/>
    <w:rsid w:val="00DF3421"/>
    <w:rsid w:val="00DF3823"/>
    <w:rsid w:val="00DF39EB"/>
    <w:rsid w:val="00DF3A5C"/>
    <w:rsid w:val="00DF3B0E"/>
    <w:rsid w:val="00DF3B14"/>
    <w:rsid w:val="00DF4058"/>
    <w:rsid w:val="00DF4A2D"/>
    <w:rsid w:val="00DF4B87"/>
    <w:rsid w:val="00DF4C13"/>
    <w:rsid w:val="00DF54F7"/>
    <w:rsid w:val="00DF5588"/>
    <w:rsid w:val="00DF6ACE"/>
    <w:rsid w:val="00DF6D3F"/>
    <w:rsid w:val="00DF730F"/>
    <w:rsid w:val="00DF7518"/>
    <w:rsid w:val="00DF7D56"/>
    <w:rsid w:val="00E000E0"/>
    <w:rsid w:val="00E007F5"/>
    <w:rsid w:val="00E00A7A"/>
    <w:rsid w:val="00E00D0A"/>
    <w:rsid w:val="00E00E7C"/>
    <w:rsid w:val="00E00F47"/>
    <w:rsid w:val="00E01629"/>
    <w:rsid w:val="00E0181F"/>
    <w:rsid w:val="00E019A3"/>
    <w:rsid w:val="00E01FE8"/>
    <w:rsid w:val="00E0219A"/>
    <w:rsid w:val="00E0221A"/>
    <w:rsid w:val="00E028FB"/>
    <w:rsid w:val="00E02AA3"/>
    <w:rsid w:val="00E02C05"/>
    <w:rsid w:val="00E03214"/>
    <w:rsid w:val="00E0331C"/>
    <w:rsid w:val="00E034CD"/>
    <w:rsid w:val="00E035AC"/>
    <w:rsid w:val="00E041F9"/>
    <w:rsid w:val="00E042D0"/>
    <w:rsid w:val="00E0447D"/>
    <w:rsid w:val="00E0514D"/>
    <w:rsid w:val="00E0555F"/>
    <w:rsid w:val="00E05C63"/>
    <w:rsid w:val="00E0693D"/>
    <w:rsid w:val="00E06A1A"/>
    <w:rsid w:val="00E06B67"/>
    <w:rsid w:val="00E06EE1"/>
    <w:rsid w:val="00E078DA"/>
    <w:rsid w:val="00E07C3B"/>
    <w:rsid w:val="00E07DF8"/>
    <w:rsid w:val="00E07E03"/>
    <w:rsid w:val="00E07E53"/>
    <w:rsid w:val="00E07EB3"/>
    <w:rsid w:val="00E07F9F"/>
    <w:rsid w:val="00E10EC8"/>
    <w:rsid w:val="00E115CF"/>
    <w:rsid w:val="00E11A38"/>
    <w:rsid w:val="00E11D50"/>
    <w:rsid w:val="00E12026"/>
    <w:rsid w:val="00E12028"/>
    <w:rsid w:val="00E1232E"/>
    <w:rsid w:val="00E1237B"/>
    <w:rsid w:val="00E12428"/>
    <w:rsid w:val="00E1252C"/>
    <w:rsid w:val="00E1289A"/>
    <w:rsid w:val="00E129FC"/>
    <w:rsid w:val="00E12B0E"/>
    <w:rsid w:val="00E130B3"/>
    <w:rsid w:val="00E13B10"/>
    <w:rsid w:val="00E1422F"/>
    <w:rsid w:val="00E14825"/>
    <w:rsid w:val="00E14B93"/>
    <w:rsid w:val="00E15625"/>
    <w:rsid w:val="00E15786"/>
    <w:rsid w:val="00E158CC"/>
    <w:rsid w:val="00E15B53"/>
    <w:rsid w:val="00E15B69"/>
    <w:rsid w:val="00E15BAB"/>
    <w:rsid w:val="00E15F9C"/>
    <w:rsid w:val="00E16622"/>
    <w:rsid w:val="00E16AB2"/>
    <w:rsid w:val="00E175A6"/>
    <w:rsid w:val="00E175E0"/>
    <w:rsid w:val="00E202B7"/>
    <w:rsid w:val="00E20614"/>
    <w:rsid w:val="00E207AC"/>
    <w:rsid w:val="00E20F47"/>
    <w:rsid w:val="00E214B5"/>
    <w:rsid w:val="00E219F5"/>
    <w:rsid w:val="00E21AD1"/>
    <w:rsid w:val="00E22219"/>
    <w:rsid w:val="00E22298"/>
    <w:rsid w:val="00E227D0"/>
    <w:rsid w:val="00E22B4E"/>
    <w:rsid w:val="00E231A0"/>
    <w:rsid w:val="00E2354A"/>
    <w:rsid w:val="00E23558"/>
    <w:rsid w:val="00E2399B"/>
    <w:rsid w:val="00E24565"/>
    <w:rsid w:val="00E24A4D"/>
    <w:rsid w:val="00E24C55"/>
    <w:rsid w:val="00E251BB"/>
    <w:rsid w:val="00E2547C"/>
    <w:rsid w:val="00E25549"/>
    <w:rsid w:val="00E25737"/>
    <w:rsid w:val="00E25F91"/>
    <w:rsid w:val="00E26046"/>
    <w:rsid w:val="00E26063"/>
    <w:rsid w:val="00E26C30"/>
    <w:rsid w:val="00E26E55"/>
    <w:rsid w:val="00E270F9"/>
    <w:rsid w:val="00E271CB"/>
    <w:rsid w:val="00E275D5"/>
    <w:rsid w:val="00E278AF"/>
    <w:rsid w:val="00E27F55"/>
    <w:rsid w:val="00E3000F"/>
    <w:rsid w:val="00E3047E"/>
    <w:rsid w:val="00E306FA"/>
    <w:rsid w:val="00E30920"/>
    <w:rsid w:val="00E30DCA"/>
    <w:rsid w:val="00E31807"/>
    <w:rsid w:val="00E31A6B"/>
    <w:rsid w:val="00E33280"/>
    <w:rsid w:val="00E332C1"/>
    <w:rsid w:val="00E338E6"/>
    <w:rsid w:val="00E33900"/>
    <w:rsid w:val="00E33FD7"/>
    <w:rsid w:val="00E342E4"/>
    <w:rsid w:val="00E343FA"/>
    <w:rsid w:val="00E349AE"/>
    <w:rsid w:val="00E349F7"/>
    <w:rsid w:val="00E34B25"/>
    <w:rsid w:val="00E34CC0"/>
    <w:rsid w:val="00E34D04"/>
    <w:rsid w:val="00E35096"/>
    <w:rsid w:val="00E35C0B"/>
    <w:rsid w:val="00E3604F"/>
    <w:rsid w:val="00E36244"/>
    <w:rsid w:val="00E36385"/>
    <w:rsid w:val="00E366EC"/>
    <w:rsid w:val="00E36F50"/>
    <w:rsid w:val="00E37301"/>
    <w:rsid w:val="00E375E5"/>
    <w:rsid w:val="00E376DA"/>
    <w:rsid w:val="00E37978"/>
    <w:rsid w:val="00E379E5"/>
    <w:rsid w:val="00E37A18"/>
    <w:rsid w:val="00E37D78"/>
    <w:rsid w:val="00E400BB"/>
    <w:rsid w:val="00E401EB"/>
    <w:rsid w:val="00E402B3"/>
    <w:rsid w:val="00E405F8"/>
    <w:rsid w:val="00E413BE"/>
    <w:rsid w:val="00E4149C"/>
    <w:rsid w:val="00E41B79"/>
    <w:rsid w:val="00E41D54"/>
    <w:rsid w:val="00E41DC7"/>
    <w:rsid w:val="00E41DE7"/>
    <w:rsid w:val="00E41E98"/>
    <w:rsid w:val="00E423F2"/>
    <w:rsid w:val="00E42505"/>
    <w:rsid w:val="00E42756"/>
    <w:rsid w:val="00E4277D"/>
    <w:rsid w:val="00E42822"/>
    <w:rsid w:val="00E42BF9"/>
    <w:rsid w:val="00E42D13"/>
    <w:rsid w:val="00E43111"/>
    <w:rsid w:val="00E43299"/>
    <w:rsid w:val="00E43DFE"/>
    <w:rsid w:val="00E43FB5"/>
    <w:rsid w:val="00E4439D"/>
    <w:rsid w:val="00E449EC"/>
    <w:rsid w:val="00E452CE"/>
    <w:rsid w:val="00E45BAF"/>
    <w:rsid w:val="00E45C1B"/>
    <w:rsid w:val="00E4668E"/>
    <w:rsid w:val="00E46837"/>
    <w:rsid w:val="00E46B3B"/>
    <w:rsid w:val="00E46E1A"/>
    <w:rsid w:val="00E46FB7"/>
    <w:rsid w:val="00E4706C"/>
    <w:rsid w:val="00E47161"/>
    <w:rsid w:val="00E4732C"/>
    <w:rsid w:val="00E4762C"/>
    <w:rsid w:val="00E47984"/>
    <w:rsid w:val="00E47D9C"/>
    <w:rsid w:val="00E500E2"/>
    <w:rsid w:val="00E501D7"/>
    <w:rsid w:val="00E50359"/>
    <w:rsid w:val="00E5048D"/>
    <w:rsid w:val="00E50845"/>
    <w:rsid w:val="00E50E45"/>
    <w:rsid w:val="00E51171"/>
    <w:rsid w:val="00E51173"/>
    <w:rsid w:val="00E51594"/>
    <w:rsid w:val="00E517EC"/>
    <w:rsid w:val="00E51B4E"/>
    <w:rsid w:val="00E51BDC"/>
    <w:rsid w:val="00E520CC"/>
    <w:rsid w:val="00E52396"/>
    <w:rsid w:val="00E526F0"/>
    <w:rsid w:val="00E529C6"/>
    <w:rsid w:val="00E5326D"/>
    <w:rsid w:val="00E535CE"/>
    <w:rsid w:val="00E53ABA"/>
    <w:rsid w:val="00E53C1D"/>
    <w:rsid w:val="00E53D78"/>
    <w:rsid w:val="00E5415E"/>
    <w:rsid w:val="00E54B37"/>
    <w:rsid w:val="00E54F9B"/>
    <w:rsid w:val="00E550E9"/>
    <w:rsid w:val="00E55379"/>
    <w:rsid w:val="00E55576"/>
    <w:rsid w:val="00E557DA"/>
    <w:rsid w:val="00E55AE8"/>
    <w:rsid w:val="00E55CAF"/>
    <w:rsid w:val="00E55CD1"/>
    <w:rsid w:val="00E55ED2"/>
    <w:rsid w:val="00E562B5"/>
    <w:rsid w:val="00E56B65"/>
    <w:rsid w:val="00E57197"/>
    <w:rsid w:val="00E5738B"/>
    <w:rsid w:val="00E576C0"/>
    <w:rsid w:val="00E57B5F"/>
    <w:rsid w:val="00E57CD7"/>
    <w:rsid w:val="00E57E9E"/>
    <w:rsid w:val="00E6044C"/>
    <w:rsid w:val="00E607CE"/>
    <w:rsid w:val="00E607D6"/>
    <w:rsid w:val="00E60813"/>
    <w:rsid w:val="00E6085B"/>
    <w:rsid w:val="00E60EE5"/>
    <w:rsid w:val="00E60F7A"/>
    <w:rsid w:val="00E61280"/>
    <w:rsid w:val="00E614F6"/>
    <w:rsid w:val="00E61A92"/>
    <w:rsid w:val="00E61AE2"/>
    <w:rsid w:val="00E61D94"/>
    <w:rsid w:val="00E61E46"/>
    <w:rsid w:val="00E61E80"/>
    <w:rsid w:val="00E61F64"/>
    <w:rsid w:val="00E62093"/>
    <w:rsid w:val="00E620A4"/>
    <w:rsid w:val="00E624A3"/>
    <w:rsid w:val="00E62C3F"/>
    <w:rsid w:val="00E62EC5"/>
    <w:rsid w:val="00E639D7"/>
    <w:rsid w:val="00E63A0E"/>
    <w:rsid w:val="00E63BE1"/>
    <w:rsid w:val="00E64089"/>
    <w:rsid w:val="00E649DB"/>
    <w:rsid w:val="00E64D4F"/>
    <w:rsid w:val="00E64E72"/>
    <w:rsid w:val="00E65022"/>
    <w:rsid w:val="00E651BE"/>
    <w:rsid w:val="00E6549E"/>
    <w:rsid w:val="00E655CC"/>
    <w:rsid w:val="00E659DC"/>
    <w:rsid w:val="00E665D3"/>
    <w:rsid w:val="00E6660E"/>
    <w:rsid w:val="00E6677F"/>
    <w:rsid w:val="00E670E4"/>
    <w:rsid w:val="00E674B3"/>
    <w:rsid w:val="00E67A02"/>
    <w:rsid w:val="00E701FB"/>
    <w:rsid w:val="00E7052A"/>
    <w:rsid w:val="00E70872"/>
    <w:rsid w:val="00E70C44"/>
    <w:rsid w:val="00E71660"/>
    <w:rsid w:val="00E7168A"/>
    <w:rsid w:val="00E716CF"/>
    <w:rsid w:val="00E71795"/>
    <w:rsid w:val="00E718C7"/>
    <w:rsid w:val="00E71B66"/>
    <w:rsid w:val="00E71CD9"/>
    <w:rsid w:val="00E71E0B"/>
    <w:rsid w:val="00E72115"/>
    <w:rsid w:val="00E72C8C"/>
    <w:rsid w:val="00E72FA6"/>
    <w:rsid w:val="00E730C3"/>
    <w:rsid w:val="00E73102"/>
    <w:rsid w:val="00E734BA"/>
    <w:rsid w:val="00E734FC"/>
    <w:rsid w:val="00E741F6"/>
    <w:rsid w:val="00E74356"/>
    <w:rsid w:val="00E745A9"/>
    <w:rsid w:val="00E74713"/>
    <w:rsid w:val="00E74838"/>
    <w:rsid w:val="00E748DC"/>
    <w:rsid w:val="00E74962"/>
    <w:rsid w:val="00E75849"/>
    <w:rsid w:val="00E75BA9"/>
    <w:rsid w:val="00E76117"/>
    <w:rsid w:val="00E76342"/>
    <w:rsid w:val="00E766C0"/>
    <w:rsid w:val="00E76890"/>
    <w:rsid w:val="00E76E99"/>
    <w:rsid w:val="00E7742C"/>
    <w:rsid w:val="00E77B93"/>
    <w:rsid w:val="00E77BED"/>
    <w:rsid w:val="00E77C86"/>
    <w:rsid w:val="00E80066"/>
    <w:rsid w:val="00E810BC"/>
    <w:rsid w:val="00E81380"/>
    <w:rsid w:val="00E81A29"/>
    <w:rsid w:val="00E81E96"/>
    <w:rsid w:val="00E824AA"/>
    <w:rsid w:val="00E82A30"/>
    <w:rsid w:val="00E83E47"/>
    <w:rsid w:val="00E841D6"/>
    <w:rsid w:val="00E84528"/>
    <w:rsid w:val="00E8509F"/>
    <w:rsid w:val="00E85239"/>
    <w:rsid w:val="00E8529A"/>
    <w:rsid w:val="00E853E6"/>
    <w:rsid w:val="00E856A9"/>
    <w:rsid w:val="00E858F5"/>
    <w:rsid w:val="00E85AEF"/>
    <w:rsid w:val="00E85C8D"/>
    <w:rsid w:val="00E8606C"/>
    <w:rsid w:val="00E86CF4"/>
    <w:rsid w:val="00E86D84"/>
    <w:rsid w:val="00E87094"/>
    <w:rsid w:val="00E870D1"/>
    <w:rsid w:val="00E871C0"/>
    <w:rsid w:val="00E87C6C"/>
    <w:rsid w:val="00E87D4D"/>
    <w:rsid w:val="00E87EC1"/>
    <w:rsid w:val="00E902A5"/>
    <w:rsid w:val="00E9044C"/>
    <w:rsid w:val="00E9077D"/>
    <w:rsid w:val="00E90D2A"/>
    <w:rsid w:val="00E91039"/>
    <w:rsid w:val="00E912DA"/>
    <w:rsid w:val="00E91439"/>
    <w:rsid w:val="00E91A23"/>
    <w:rsid w:val="00E91CE6"/>
    <w:rsid w:val="00E924DB"/>
    <w:rsid w:val="00E932B2"/>
    <w:rsid w:val="00E9354F"/>
    <w:rsid w:val="00E93CB9"/>
    <w:rsid w:val="00E94421"/>
    <w:rsid w:val="00E9460A"/>
    <w:rsid w:val="00E94CC4"/>
    <w:rsid w:val="00E9518B"/>
    <w:rsid w:val="00E958D5"/>
    <w:rsid w:val="00E9592C"/>
    <w:rsid w:val="00E95A26"/>
    <w:rsid w:val="00E95B5D"/>
    <w:rsid w:val="00E95F40"/>
    <w:rsid w:val="00E966F3"/>
    <w:rsid w:val="00E9687C"/>
    <w:rsid w:val="00E96D40"/>
    <w:rsid w:val="00E97008"/>
    <w:rsid w:val="00E971B5"/>
    <w:rsid w:val="00E97B55"/>
    <w:rsid w:val="00E97E66"/>
    <w:rsid w:val="00E97F80"/>
    <w:rsid w:val="00EA004D"/>
    <w:rsid w:val="00EA04F9"/>
    <w:rsid w:val="00EA0666"/>
    <w:rsid w:val="00EA0B86"/>
    <w:rsid w:val="00EA0CE3"/>
    <w:rsid w:val="00EA0F71"/>
    <w:rsid w:val="00EA0FAC"/>
    <w:rsid w:val="00EA194A"/>
    <w:rsid w:val="00EA194D"/>
    <w:rsid w:val="00EA1E47"/>
    <w:rsid w:val="00EA264B"/>
    <w:rsid w:val="00EA2988"/>
    <w:rsid w:val="00EA2E83"/>
    <w:rsid w:val="00EA33F8"/>
    <w:rsid w:val="00EA3673"/>
    <w:rsid w:val="00EA39E2"/>
    <w:rsid w:val="00EA4EA6"/>
    <w:rsid w:val="00EA4F0A"/>
    <w:rsid w:val="00EA5192"/>
    <w:rsid w:val="00EA5761"/>
    <w:rsid w:val="00EA5A66"/>
    <w:rsid w:val="00EA67D0"/>
    <w:rsid w:val="00EA6D7B"/>
    <w:rsid w:val="00EA6F46"/>
    <w:rsid w:val="00EA75B4"/>
    <w:rsid w:val="00EA75EE"/>
    <w:rsid w:val="00EA7627"/>
    <w:rsid w:val="00EA7904"/>
    <w:rsid w:val="00EA7AFC"/>
    <w:rsid w:val="00EB065C"/>
    <w:rsid w:val="00EB0C1F"/>
    <w:rsid w:val="00EB1229"/>
    <w:rsid w:val="00EB171F"/>
    <w:rsid w:val="00EB2791"/>
    <w:rsid w:val="00EB2897"/>
    <w:rsid w:val="00EB3581"/>
    <w:rsid w:val="00EB3681"/>
    <w:rsid w:val="00EB415D"/>
    <w:rsid w:val="00EB4188"/>
    <w:rsid w:val="00EB41CA"/>
    <w:rsid w:val="00EB42D3"/>
    <w:rsid w:val="00EB466E"/>
    <w:rsid w:val="00EB481E"/>
    <w:rsid w:val="00EB52F3"/>
    <w:rsid w:val="00EB58D3"/>
    <w:rsid w:val="00EB5925"/>
    <w:rsid w:val="00EB5B87"/>
    <w:rsid w:val="00EB5D9C"/>
    <w:rsid w:val="00EB5DEF"/>
    <w:rsid w:val="00EB5F52"/>
    <w:rsid w:val="00EB6757"/>
    <w:rsid w:val="00EB78FB"/>
    <w:rsid w:val="00EC03DC"/>
    <w:rsid w:val="00EC0A1D"/>
    <w:rsid w:val="00EC1048"/>
    <w:rsid w:val="00EC1859"/>
    <w:rsid w:val="00EC1A97"/>
    <w:rsid w:val="00EC1F1E"/>
    <w:rsid w:val="00EC2582"/>
    <w:rsid w:val="00EC2605"/>
    <w:rsid w:val="00EC270F"/>
    <w:rsid w:val="00EC27A8"/>
    <w:rsid w:val="00EC2855"/>
    <w:rsid w:val="00EC2990"/>
    <w:rsid w:val="00EC2E7C"/>
    <w:rsid w:val="00EC2F69"/>
    <w:rsid w:val="00EC3226"/>
    <w:rsid w:val="00EC3BAE"/>
    <w:rsid w:val="00EC3BDE"/>
    <w:rsid w:val="00EC3FC1"/>
    <w:rsid w:val="00EC4080"/>
    <w:rsid w:val="00EC4613"/>
    <w:rsid w:val="00EC4D0B"/>
    <w:rsid w:val="00EC4D97"/>
    <w:rsid w:val="00EC54A0"/>
    <w:rsid w:val="00EC54E4"/>
    <w:rsid w:val="00EC5E80"/>
    <w:rsid w:val="00EC636F"/>
    <w:rsid w:val="00EC65E0"/>
    <w:rsid w:val="00EC65F2"/>
    <w:rsid w:val="00EC666A"/>
    <w:rsid w:val="00EC699A"/>
    <w:rsid w:val="00EC69C1"/>
    <w:rsid w:val="00EC6AB4"/>
    <w:rsid w:val="00EC7067"/>
    <w:rsid w:val="00EC73D8"/>
    <w:rsid w:val="00EC780C"/>
    <w:rsid w:val="00EC7D41"/>
    <w:rsid w:val="00EC7E32"/>
    <w:rsid w:val="00ED0269"/>
    <w:rsid w:val="00ED0570"/>
    <w:rsid w:val="00ED0590"/>
    <w:rsid w:val="00ED0AE9"/>
    <w:rsid w:val="00ED0C70"/>
    <w:rsid w:val="00ED0C75"/>
    <w:rsid w:val="00ED135F"/>
    <w:rsid w:val="00ED1A44"/>
    <w:rsid w:val="00ED1D7A"/>
    <w:rsid w:val="00ED25A4"/>
    <w:rsid w:val="00ED2742"/>
    <w:rsid w:val="00ED292E"/>
    <w:rsid w:val="00ED2A8E"/>
    <w:rsid w:val="00ED2D04"/>
    <w:rsid w:val="00ED30E7"/>
    <w:rsid w:val="00ED3F45"/>
    <w:rsid w:val="00ED3FBE"/>
    <w:rsid w:val="00ED419A"/>
    <w:rsid w:val="00ED46FA"/>
    <w:rsid w:val="00ED4C49"/>
    <w:rsid w:val="00ED5422"/>
    <w:rsid w:val="00ED5435"/>
    <w:rsid w:val="00ED610C"/>
    <w:rsid w:val="00ED631E"/>
    <w:rsid w:val="00ED63CC"/>
    <w:rsid w:val="00ED6905"/>
    <w:rsid w:val="00ED69F0"/>
    <w:rsid w:val="00ED6B08"/>
    <w:rsid w:val="00ED6F4E"/>
    <w:rsid w:val="00ED6FD3"/>
    <w:rsid w:val="00ED755B"/>
    <w:rsid w:val="00ED7757"/>
    <w:rsid w:val="00ED796F"/>
    <w:rsid w:val="00ED7ADE"/>
    <w:rsid w:val="00ED7E09"/>
    <w:rsid w:val="00EE12D2"/>
    <w:rsid w:val="00EE1518"/>
    <w:rsid w:val="00EE1910"/>
    <w:rsid w:val="00EE21CF"/>
    <w:rsid w:val="00EE252D"/>
    <w:rsid w:val="00EE28B0"/>
    <w:rsid w:val="00EE2BFC"/>
    <w:rsid w:val="00EE30F3"/>
    <w:rsid w:val="00EE31FD"/>
    <w:rsid w:val="00EE3579"/>
    <w:rsid w:val="00EE3811"/>
    <w:rsid w:val="00EE3E8A"/>
    <w:rsid w:val="00EE4784"/>
    <w:rsid w:val="00EE47B6"/>
    <w:rsid w:val="00EE5612"/>
    <w:rsid w:val="00EE672C"/>
    <w:rsid w:val="00EE69E8"/>
    <w:rsid w:val="00EE6AB9"/>
    <w:rsid w:val="00EE6C0B"/>
    <w:rsid w:val="00EE6DBD"/>
    <w:rsid w:val="00EE6FF4"/>
    <w:rsid w:val="00EE7EFA"/>
    <w:rsid w:val="00EE7F2F"/>
    <w:rsid w:val="00EF024C"/>
    <w:rsid w:val="00EF0650"/>
    <w:rsid w:val="00EF0DD8"/>
    <w:rsid w:val="00EF0FE6"/>
    <w:rsid w:val="00EF1057"/>
    <w:rsid w:val="00EF19AF"/>
    <w:rsid w:val="00EF2131"/>
    <w:rsid w:val="00EF2392"/>
    <w:rsid w:val="00EF246B"/>
    <w:rsid w:val="00EF24B8"/>
    <w:rsid w:val="00EF2577"/>
    <w:rsid w:val="00EF26F5"/>
    <w:rsid w:val="00EF2B36"/>
    <w:rsid w:val="00EF2B65"/>
    <w:rsid w:val="00EF2C4F"/>
    <w:rsid w:val="00EF2E15"/>
    <w:rsid w:val="00EF323B"/>
    <w:rsid w:val="00EF3344"/>
    <w:rsid w:val="00EF39F8"/>
    <w:rsid w:val="00EF3C43"/>
    <w:rsid w:val="00EF4076"/>
    <w:rsid w:val="00EF4374"/>
    <w:rsid w:val="00EF4874"/>
    <w:rsid w:val="00EF48F0"/>
    <w:rsid w:val="00EF4BE7"/>
    <w:rsid w:val="00EF4D42"/>
    <w:rsid w:val="00EF522E"/>
    <w:rsid w:val="00EF5336"/>
    <w:rsid w:val="00EF561F"/>
    <w:rsid w:val="00EF56AB"/>
    <w:rsid w:val="00EF56E3"/>
    <w:rsid w:val="00EF5929"/>
    <w:rsid w:val="00EF5A0B"/>
    <w:rsid w:val="00EF5DE1"/>
    <w:rsid w:val="00EF63A9"/>
    <w:rsid w:val="00EF64D2"/>
    <w:rsid w:val="00EF6566"/>
    <w:rsid w:val="00EF6B4B"/>
    <w:rsid w:val="00EF7032"/>
    <w:rsid w:val="00EF7442"/>
    <w:rsid w:val="00EF7570"/>
    <w:rsid w:val="00F000B5"/>
    <w:rsid w:val="00F0025A"/>
    <w:rsid w:val="00F009AB"/>
    <w:rsid w:val="00F0128B"/>
    <w:rsid w:val="00F0130A"/>
    <w:rsid w:val="00F013A0"/>
    <w:rsid w:val="00F01775"/>
    <w:rsid w:val="00F01850"/>
    <w:rsid w:val="00F01867"/>
    <w:rsid w:val="00F01C5F"/>
    <w:rsid w:val="00F01E6A"/>
    <w:rsid w:val="00F02321"/>
    <w:rsid w:val="00F02467"/>
    <w:rsid w:val="00F0276F"/>
    <w:rsid w:val="00F02878"/>
    <w:rsid w:val="00F02DA8"/>
    <w:rsid w:val="00F02DB6"/>
    <w:rsid w:val="00F030BB"/>
    <w:rsid w:val="00F03648"/>
    <w:rsid w:val="00F039AD"/>
    <w:rsid w:val="00F040DE"/>
    <w:rsid w:val="00F042C6"/>
    <w:rsid w:val="00F04332"/>
    <w:rsid w:val="00F044DD"/>
    <w:rsid w:val="00F04831"/>
    <w:rsid w:val="00F0596C"/>
    <w:rsid w:val="00F05CE5"/>
    <w:rsid w:val="00F06B92"/>
    <w:rsid w:val="00F06C5E"/>
    <w:rsid w:val="00F06C7A"/>
    <w:rsid w:val="00F06C7D"/>
    <w:rsid w:val="00F06CA9"/>
    <w:rsid w:val="00F07158"/>
    <w:rsid w:val="00F07187"/>
    <w:rsid w:val="00F074D4"/>
    <w:rsid w:val="00F07703"/>
    <w:rsid w:val="00F07804"/>
    <w:rsid w:val="00F07CFD"/>
    <w:rsid w:val="00F100B0"/>
    <w:rsid w:val="00F10333"/>
    <w:rsid w:val="00F1045E"/>
    <w:rsid w:val="00F106E0"/>
    <w:rsid w:val="00F10940"/>
    <w:rsid w:val="00F10B06"/>
    <w:rsid w:val="00F10BA6"/>
    <w:rsid w:val="00F11948"/>
    <w:rsid w:val="00F11B53"/>
    <w:rsid w:val="00F11BB9"/>
    <w:rsid w:val="00F12262"/>
    <w:rsid w:val="00F1247C"/>
    <w:rsid w:val="00F125E5"/>
    <w:rsid w:val="00F13265"/>
    <w:rsid w:val="00F1344D"/>
    <w:rsid w:val="00F1377D"/>
    <w:rsid w:val="00F138A2"/>
    <w:rsid w:val="00F13AEC"/>
    <w:rsid w:val="00F13BDC"/>
    <w:rsid w:val="00F13C0B"/>
    <w:rsid w:val="00F13E1E"/>
    <w:rsid w:val="00F13ED1"/>
    <w:rsid w:val="00F13F64"/>
    <w:rsid w:val="00F146D3"/>
    <w:rsid w:val="00F14807"/>
    <w:rsid w:val="00F14908"/>
    <w:rsid w:val="00F1496E"/>
    <w:rsid w:val="00F14DFE"/>
    <w:rsid w:val="00F14FE3"/>
    <w:rsid w:val="00F152CE"/>
    <w:rsid w:val="00F15873"/>
    <w:rsid w:val="00F15AF8"/>
    <w:rsid w:val="00F15C08"/>
    <w:rsid w:val="00F15E13"/>
    <w:rsid w:val="00F1669D"/>
    <w:rsid w:val="00F16728"/>
    <w:rsid w:val="00F16C76"/>
    <w:rsid w:val="00F16FF4"/>
    <w:rsid w:val="00F17147"/>
    <w:rsid w:val="00F1719F"/>
    <w:rsid w:val="00F1739C"/>
    <w:rsid w:val="00F176EB"/>
    <w:rsid w:val="00F177BA"/>
    <w:rsid w:val="00F177F2"/>
    <w:rsid w:val="00F17AE7"/>
    <w:rsid w:val="00F17BE5"/>
    <w:rsid w:val="00F17DFD"/>
    <w:rsid w:val="00F206EA"/>
    <w:rsid w:val="00F20C48"/>
    <w:rsid w:val="00F20FC8"/>
    <w:rsid w:val="00F2117C"/>
    <w:rsid w:val="00F213B1"/>
    <w:rsid w:val="00F213D4"/>
    <w:rsid w:val="00F21DFC"/>
    <w:rsid w:val="00F227EF"/>
    <w:rsid w:val="00F22BEB"/>
    <w:rsid w:val="00F2308A"/>
    <w:rsid w:val="00F23859"/>
    <w:rsid w:val="00F2386A"/>
    <w:rsid w:val="00F24384"/>
    <w:rsid w:val="00F2468C"/>
    <w:rsid w:val="00F248EE"/>
    <w:rsid w:val="00F24DAB"/>
    <w:rsid w:val="00F24F37"/>
    <w:rsid w:val="00F25B15"/>
    <w:rsid w:val="00F26374"/>
    <w:rsid w:val="00F26523"/>
    <w:rsid w:val="00F2674F"/>
    <w:rsid w:val="00F27374"/>
    <w:rsid w:val="00F27865"/>
    <w:rsid w:val="00F27927"/>
    <w:rsid w:val="00F27B39"/>
    <w:rsid w:val="00F27BCF"/>
    <w:rsid w:val="00F27DA7"/>
    <w:rsid w:val="00F3086F"/>
    <w:rsid w:val="00F30909"/>
    <w:rsid w:val="00F318DD"/>
    <w:rsid w:val="00F31BD2"/>
    <w:rsid w:val="00F31FF5"/>
    <w:rsid w:val="00F32737"/>
    <w:rsid w:val="00F3286F"/>
    <w:rsid w:val="00F32ACF"/>
    <w:rsid w:val="00F32B5F"/>
    <w:rsid w:val="00F32EA9"/>
    <w:rsid w:val="00F331CD"/>
    <w:rsid w:val="00F335E1"/>
    <w:rsid w:val="00F33F91"/>
    <w:rsid w:val="00F34299"/>
    <w:rsid w:val="00F34565"/>
    <w:rsid w:val="00F34930"/>
    <w:rsid w:val="00F34958"/>
    <w:rsid w:val="00F34CDA"/>
    <w:rsid w:val="00F352DB"/>
    <w:rsid w:val="00F355E7"/>
    <w:rsid w:val="00F35E03"/>
    <w:rsid w:val="00F35F2A"/>
    <w:rsid w:val="00F367C9"/>
    <w:rsid w:val="00F36836"/>
    <w:rsid w:val="00F36ADA"/>
    <w:rsid w:val="00F36E67"/>
    <w:rsid w:val="00F370E8"/>
    <w:rsid w:val="00F37109"/>
    <w:rsid w:val="00F371E9"/>
    <w:rsid w:val="00F3754D"/>
    <w:rsid w:val="00F375CF"/>
    <w:rsid w:val="00F37B09"/>
    <w:rsid w:val="00F37C8A"/>
    <w:rsid w:val="00F4053E"/>
    <w:rsid w:val="00F406E1"/>
    <w:rsid w:val="00F40903"/>
    <w:rsid w:val="00F40DD8"/>
    <w:rsid w:val="00F40EAF"/>
    <w:rsid w:val="00F40FD7"/>
    <w:rsid w:val="00F41D60"/>
    <w:rsid w:val="00F41E87"/>
    <w:rsid w:val="00F421AC"/>
    <w:rsid w:val="00F421CC"/>
    <w:rsid w:val="00F4254C"/>
    <w:rsid w:val="00F42699"/>
    <w:rsid w:val="00F4298C"/>
    <w:rsid w:val="00F42BC8"/>
    <w:rsid w:val="00F42E8B"/>
    <w:rsid w:val="00F42F92"/>
    <w:rsid w:val="00F43228"/>
    <w:rsid w:val="00F43449"/>
    <w:rsid w:val="00F43894"/>
    <w:rsid w:val="00F43AAA"/>
    <w:rsid w:val="00F43C66"/>
    <w:rsid w:val="00F43D59"/>
    <w:rsid w:val="00F442B4"/>
    <w:rsid w:val="00F44367"/>
    <w:rsid w:val="00F444C7"/>
    <w:rsid w:val="00F445E8"/>
    <w:rsid w:val="00F4469C"/>
    <w:rsid w:val="00F44753"/>
    <w:rsid w:val="00F448B8"/>
    <w:rsid w:val="00F44A86"/>
    <w:rsid w:val="00F44CD4"/>
    <w:rsid w:val="00F44DB9"/>
    <w:rsid w:val="00F44EB9"/>
    <w:rsid w:val="00F44F7F"/>
    <w:rsid w:val="00F4504D"/>
    <w:rsid w:val="00F458D1"/>
    <w:rsid w:val="00F459B0"/>
    <w:rsid w:val="00F46D87"/>
    <w:rsid w:val="00F46E9C"/>
    <w:rsid w:val="00F474F6"/>
    <w:rsid w:val="00F47C69"/>
    <w:rsid w:val="00F47DBC"/>
    <w:rsid w:val="00F50AE5"/>
    <w:rsid w:val="00F50B34"/>
    <w:rsid w:val="00F51723"/>
    <w:rsid w:val="00F51C0F"/>
    <w:rsid w:val="00F51E57"/>
    <w:rsid w:val="00F52113"/>
    <w:rsid w:val="00F52163"/>
    <w:rsid w:val="00F523B6"/>
    <w:rsid w:val="00F52C33"/>
    <w:rsid w:val="00F52D93"/>
    <w:rsid w:val="00F52DF5"/>
    <w:rsid w:val="00F535C9"/>
    <w:rsid w:val="00F535CC"/>
    <w:rsid w:val="00F5391C"/>
    <w:rsid w:val="00F539B4"/>
    <w:rsid w:val="00F539C4"/>
    <w:rsid w:val="00F53A68"/>
    <w:rsid w:val="00F53B88"/>
    <w:rsid w:val="00F53BB2"/>
    <w:rsid w:val="00F53E25"/>
    <w:rsid w:val="00F54911"/>
    <w:rsid w:val="00F5507E"/>
    <w:rsid w:val="00F556A1"/>
    <w:rsid w:val="00F556AF"/>
    <w:rsid w:val="00F55775"/>
    <w:rsid w:val="00F55F81"/>
    <w:rsid w:val="00F5624D"/>
    <w:rsid w:val="00F5638C"/>
    <w:rsid w:val="00F56A38"/>
    <w:rsid w:val="00F56DA1"/>
    <w:rsid w:val="00F56EC2"/>
    <w:rsid w:val="00F56ED4"/>
    <w:rsid w:val="00F5713B"/>
    <w:rsid w:val="00F573AB"/>
    <w:rsid w:val="00F57518"/>
    <w:rsid w:val="00F578E7"/>
    <w:rsid w:val="00F5790B"/>
    <w:rsid w:val="00F6089F"/>
    <w:rsid w:val="00F60BD1"/>
    <w:rsid w:val="00F60FCD"/>
    <w:rsid w:val="00F61232"/>
    <w:rsid w:val="00F614B9"/>
    <w:rsid w:val="00F61F46"/>
    <w:rsid w:val="00F62204"/>
    <w:rsid w:val="00F627D6"/>
    <w:rsid w:val="00F630B3"/>
    <w:rsid w:val="00F6320E"/>
    <w:rsid w:val="00F635D3"/>
    <w:rsid w:val="00F63906"/>
    <w:rsid w:val="00F63D30"/>
    <w:rsid w:val="00F641B6"/>
    <w:rsid w:val="00F64585"/>
    <w:rsid w:val="00F64623"/>
    <w:rsid w:val="00F64B3A"/>
    <w:rsid w:val="00F64B3D"/>
    <w:rsid w:val="00F64D71"/>
    <w:rsid w:val="00F64E5E"/>
    <w:rsid w:val="00F65125"/>
    <w:rsid w:val="00F654FE"/>
    <w:rsid w:val="00F65A86"/>
    <w:rsid w:val="00F65B1D"/>
    <w:rsid w:val="00F65FC8"/>
    <w:rsid w:val="00F66149"/>
    <w:rsid w:val="00F6658D"/>
    <w:rsid w:val="00F66843"/>
    <w:rsid w:val="00F668D7"/>
    <w:rsid w:val="00F66F0F"/>
    <w:rsid w:val="00F67150"/>
    <w:rsid w:val="00F67580"/>
    <w:rsid w:val="00F676DF"/>
    <w:rsid w:val="00F67DCD"/>
    <w:rsid w:val="00F70163"/>
    <w:rsid w:val="00F703CC"/>
    <w:rsid w:val="00F71281"/>
    <w:rsid w:val="00F71516"/>
    <w:rsid w:val="00F71735"/>
    <w:rsid w:val="00F7177F"/>
    <w:rsid w:val="00F71E74"/>
    <w:rsid w:val="00F71FF9"/>
    <w:rsid w:val="00F72125"/>
    <w:rsid w:val="00F72185"/>
    <w:rsid w:val="00F723E0"/>
    <w:rsid w:val="00F72611"/>
    <w:rsid w:val="00F72869"/>
    <w:rsid w:val="00F72B4A"/>
    <w:rsid w:val="00F7312D"/>
    <w:rsid w:val="00F731DB"/>
    <w:rsid w:val="00F73E2B"/>
    <w:rsid w:val="00F7479A"/>
    <w:rsid w:val="00F747E7"/>
    <w:rsid w:val="00F74973"/>
    <w:rsid w:val="00F74D20"/>
    <w:rsid w:val="00F75067"/>
    <w:rsid w:val="00F752E8"/>
    <w:rsid w:val="00F75AF1"/>
    <w:rsid w:val="00F75CFF"/>
    <w:rsid w:val="00F762DA"/>
    <w:rsid w:val="00F76546"/>
    <w:rsid w:val="00F76DBB"/>
    <w:rsid w:val="00F76FB8"/>
    <w:rsid w:val="00F77064"/>
    <w:rsid w:val="00F770AD"/>
    <w:rsid w:val="00F777A1"/>
    <w:rsid w:val="00F7790C"/>
    <w:rsid w:val="00F77C7D"/>
    <w:rsid w:val="00F77CF2"/>
    <w:rsid w:val="00F77D41"/>
    <w:rsid w:val="00F77DDA"/>
    <w:rsid w:val="00F77EF3"/>
    <w:rsid w:val="00F8025F"/>
    <w:rsid w:val="00F802C6"/>
    <w:rsid w:val="00F808AB"/>
    <w:rsid w:val="00F80BE6"/>
    <w:rsid w:val="00F80C49"/>
    <w:rsid w:val="00F80C9B"/>
    <w:rsid w:val="00F81590"/>
    <w:rsid w:val="00F815F4"/>
    <w:rsid w:val="00F8191E"/>
    <w:rsid w:val="00F81CB5"/>
    <w:rsid w:val="00F822DD"/>
    <w:rsid w:val="00F82B59"/>
    <w:rsid w:val="00F82EBE"/>
    <w:rsid w:val="00F82F81"/>
    <w:rsid w:val="00F8383D"/>
    <w:rsid w:val="00F83A90"/>
    <w:rsid w:val="00F83CB9"/>
    <w:rsid w:val="00F84177"/>
    <w:rsid w:val="00F84178"/>
    <w:rsid w:val="00F8453D"/>
    <w:rsid w:val="00F84618"/>
    <w:rsid w:val="00F84DA8"/>
    <w:rsid w:val="00F85578"/>
    <w:rsid w:val="00F86DE5"/>
    <w:rsid w:val="00F86F19"/>
    <w:rsid w:val="00F86F22"/>
    <w:rsid w:val="00F873B2"/>
    <w:rsid w:val="00F874AA"/>
    <w:rsid w:val="00F874D3"/>
    <w:rsid w:val="00F8767D"/>
    <w:rsid w:val="00F87698"/>
    <w:rsid w:val="00F877DF"/>
    <w:rsid w:val="00F87E97"/>
    <w:rsid w:val="00F90101"/>
    <w:rsid w:val="00F901E8"/>
    <w:rsid w:val="00F90243"/>
    <w:rsid w:val="00F90B0B"/>
    <w:rsid w:val="00F918C8"/>
    <w:rsid w:val="00F91AED"/>
    <w:rsid w:val="00F91B23"/>
    <w:rsid w:val="00F91ED5"/>
    <w:rsid w:val="00F92FDC"/>
    <w:rsid w:val="00F936E2"/>
    <w:rsid w:val="00F93A0B"/>
    <w:rsid w:val="00F93B14"/>
    <w:rsid w:val="00F94030"/>
    <w:rsid w:val="00F946A3"/>
    <w:rsid w:val="00F94889"/>
    <w:rsid w:val="00F94D6D"/>
    <w:rsid w:val="00F94FC3"/>
    <w:rsid w:val="00F9550B"/>
    <w:rsid w:val="00F95648"/>
    <w:rsid w:val="00F95664"/>
    <w:rsid w:val="00F95774"/>
    <w:rsid w:val="00F95B80"/>
    <w:rsid w:val="00F95E15"/>
    <w:rsid w:val="00F95E2C"/>
    <w:rsid w:val="00F96074"/>
    <w:rsid w:val="00F96307"/>
    <w:rsid w:val="00F96907"/>
    <w:rsid w:val="00F96BD7"/>
    <w:rsid w:val="00F9716D"/>
    <w:rsid w:val="00F97190"/>
    <w:rsid w:val="00F971B4"/>
    <w:rsid w:val="00F97298"/>
    <w:rsid w:val="00F972D9"/>
    <w:rsid w:val="00F9739F"/>
    <w:rsid w:val="00F975C9"/>
    <w:rsid w:val="00F97749"/>
    <w:rsid w:val="00F97AAE"/>
    <w:rsid w:val="00FA08B8"/>
    <w:rsid w:val="00FA09A3"/>
    <w:rsid w:val="00FA09F2"/>
    <w:rsid w:val="00FA0CA3"/>
    <w:rsid w:val="00FA1902"/>
    <w:rsid w:val="00FA1C65"/>
    <w:rsid w:val="00FA1D3A"/>
    <w:rsid w:val="00FA220B"/>
    <w:rsid w:val="00FA2349"/>
    <w:rsid w:val="00FA252D"/>
    <w:rsid w:val="00FA2A5F"/>
    <w:rsid w:val="00FA2EC1"/>
    <w:rsid w:val="00FA32DD"/>
    <w:rsid w:val="00FA34AE"/>
    <w:rsid w:val="00FA3D43"/>
    <w:rsid w:val="00FA4098"/>
    <w:rsid w:val="00FA42ED"/>
    <w:rsid w:val="00FA4823"/>
    <w:rsid w:val="00FA4835"/>
    <w:rsid w:val="00FA49D8"/>
    <w:rsid w:val="00FA4A78"/>
    <w:rsid w:val="00FA4D66"/>
    <w:rsid w:val="00FA5018"/>
    <w:rsid w:val="00FA5271"/>
    <w:rsid w:val="00FA5340"/>
    <w:rsid w:val="00FA5AD2"/>
    <w:rsid w:val="00FA5B09"/>
    <w:rsid w:val="00FA5B9D"/>
    <w:rsid w:val="00FA66CF"/>
    <w:rsid w:val="00FA6D8D"/>
    <w:rsid w:val="00FA6EEC"/>
    <w:rsid w:val="00FA7196"/>
    <w:rsid w:val="00FA7941"/>
    <w:rsid w:val="00FB0400"/>
    <w:rsid w:val="00FB0665"/>
    <w:rsid w:val="00FB06CA"/>
    <w:rsid w:val="00FB0BC3"/>
    <w:rsid w:val="00FB0CD3"/>
    <w:rsid w:val="00FB0DD7"/>
    <w:rsid w:val="00FB1A1A"/>
    <w:rsid w:val="00FB1AF8"/>
    <w:rsid w:val="00FB20FC"/>
    <w:rsid w:val="00FB211D"/>
    <w:rsid w:val="00FB2447"/>
    <w:rsid w:val="00FB255A"/>
    <w:rsid w:val="00FB2941"/>
    <w:rsid w:val="00FB2AAF"/>
    <w:rsid w:val="00FB2B86"/>
    <w:rsid w:val="00FB3185"/>
    <w:rsid w:val="00FB32BF"/>
    <w:rsid w:val="00FB3ECE"/>
    <w:rsid w:val="00FB43CF"/>
    <w:rsid w:val="00FB45BD"/>
    <w:rsid w:val="00FB48A5"/>
    <w:rsid w:val="00FB4DAF"/>
    <w:rsid w:val="00FB4EEF"/>
    <w:rsid w:val="00FB51D4"/>
    <w:rsid w:val="00FB55CE"/>
    <w:rsid w:val="00FB55F7"/>
    <w:rsid w:val="00FB59EE"/>
    <w:rsid w:val="00FB5A22"/>
    <w:rsid w:val="00FB5CD0"/>
    <w:rsid w:val="00FB614B"/>
    <w:rsid w:val="00FB621F"/>
    <w:rsid w:val="00FB6264"/>
    <w:rsid w:val="00FB6677"/>
    <w:rsid w:val="00FB7586"/>
    <w:rsid w:val="00FB7940"/>
    <w:rsid w:val="00FC02E4"/>
    <w:rsid w:val="00FC044C"/>
    <w:rsid w:val="00FC096E"/>
    <w:rsid w:val="00FC0D0E"/>
    <w:rsid w:val="00FC112A"/>
    <w:rsid w:val="00FC1726"/>
    <w:rsid w:val="00FC173F"/>
    <w:rsid w:val="00FC17B6"/>
    <w:rsid w:val="00FC1ACF"/>
    <w:rsid w:val="00FC230D"/>
    <w:rsid w:val="00FC2882"/>
    <w:rsid w:val="00FC2EE5"/>
    <w:rsid w:val="00FC336F"/>
    <w:rsid w:val="00FC3A4E"/>
    <w:rsid w:val="00FC3C64"/>
    <w:rsid w:val="00FC3FA5"/>
    <w:rsid w:val="00FC506E"/>
    <w:rsid w:val="00FC50DB"/>
    <w:rsid w:val="00FC5367"/>
    <w:rsid w:val="00FC53C6"/>
    <w:rsid w:val="00FC597D"/>
    <w:rsid w:val="00FC5C21"/>
    <w:rsid w:val="00FC5D81"/>
    <w:rsid w:val="00FC5DF5"/>
    <w:rsid w:val="00FC6876"/>
    <w:rsid w:val="00FC74C4"/>
    <w:rsid w:val="00FC78F3"/>
    <w:rsid w:val="00FC7A26"/>
    <w:rsid w:val="00FD004B"/>
    <w:rsid w:val="00FD072D"/>
    <w:rsid w:val="00FD0A0D"/>
    <w:rsid w:val="00FD1415"/>
    <w:rsid w:val="00FD1452"/>
    <w:rsid w:val="00FD1524"/>
    <w:rsid w:val="00FD1ED5"/>
    <w:rsid w:val="00FD2A4F"/>
    <w:rsid w:val="00FD2D9E"/>
    <w:rsid w:val="00FD3963"/>
    <w:rsid w:val="00FD3E64"/>
    <w:rsid w:val="00FD4366"/>
    <w:rsid w:val="00FD49F5"/>
    <w:rsid w:val="00FD4CE7"/>
    <w:rsid w:val="00FD4FA1"/>
    <w:rsid w:val="00FD5021"/>
    <w:rsid w:val="00FD57CD"/>
    <w:rsid w:val="00FD5C23"/>
    <w:rsid w:val="00FD5DF7"/>
    <w:rsid w:val="00FD68CC"/>
    <w:rsid w:val="00FD6E80"/>
    <w:rsid w:val="00FD6F62"/>
    <w:rsid w:val="00FD7035"/>
    <w:rsid w:val="00FD73F0"/>
    <w:rsid w:val="00FD7900"/>
    <w:rsid w:val="00FD7C44"/>
    <w:rsid w:val="00FD7C83"/>
    <w:rsid w:val="00FD7CA8"/>
    <w:rsid w:val="00FD7FCF"/>
    <w:rsid w:val="00FE052E"/>
    <w:rsid w:val="00FE06D4"/>
    <w:rsid w:val="00FE0749"/>
    <w:rsid w:val="00FE10A1"/>
    <w:rsid w:val="00FE1229"/>
    <w:rsid w:val="00FE16E4"/>
    <w:rsid w:val="00FE17F4"/>
    <w:rsid w:val="00FE1A5F"/>
    <w:rsid w:val="00FE2747"/>
    <w:rsid w:val="00FE2BFA"/>
    <w:rsid w:val="00FE3BEA"/>
    <w:rsid w:val="00FE4196"/>
    <w:rsid w:val="00FE44B6"/>
    <w:rsid w:val="00FE4B96"/>
    <w:rsid w:val="00FE5042"/>
    <w:rsid w:val="00FE55F5"/>
    <w:rsid w:val="00FE5EB5"/>
    <w:rsid w:val="00FE63C6"/>
    <w:rsid w:val="00FE6404"/>
    <w:rsid w:val="00FE67E3"/>
    <w:rsid w:val="00FE68B7"/>
    <w:rsid w:val="00FE6950"/>
    <w:rsid w:val="00FE6EE5"/>
    <w:rsid w:val="00FE705B"/>
    <w:rsid w:val="00FE70C1"/>
    <w:rsid w:val="00FE72E2"/>
    <w:rsid w:val="00FE741E"/>
    <w:rsid w:val="00FF01C5"/>
    <w:rsid w:val="00FF02FF"/>
    <w:rsid w:val="00FF0FEB"/>
    <w:rsid w:val="00FF1457"/>
    <w:rsid w:val="00FF145F"/>
    <w:rsid w:val="00FF14A9"/>
    <w:rsid w:val="00FF1D56"/>
    <w:rsid w:val="00FF1E73"/>
    <w:rsid w:val="00FF2377"/>
    <w:rsid w:val="00FF2676"/>
    <w:rsid w:val="00FF291A"/>
    <w:rsid w:val="00FF2B22"/>
    <w:rsid w:val="00FF3036"/>
    <w:rsid w:val="00FF35EF"/>
    <w:rsid w:val="00FF370C"/>
    <w:rsid w:val="00FF3E95"/>
    <w:rsid w:val="00FF3EC1"/>
    <w:rsid w:val="00FF418F"/>
    <w:rsid w:val="00FF4201"/>
    <w:rsid w:val="00FF425E"/>
    <w:rsid w:val="00FF4F68"/>
    <w:rsid w:val="00FF538B"/>
    <w:rsid w:val="00FF5984"/>
    <w:rsid w:val="00FF6401"/>
    <w:rsid w:val="00FF642B"/>
    <w:rsid w:val="00FF64E4"/>
    <w:rsid w:val="00FF65B1"/>
    <w:rsid w:val="00FF65F4"/>
    <w:rsid w:val="00FF6726"/>
    <w:rsid w:val="00FF6ADC"/>
    <w:rsid w:val="00FF6D66"/>
    <w:rsid w:val="00FF6E6F"/>
    <w:rsid w:val="00FF718D"/>
    <w:rsid w:val="00FF71DA"/>
    <w:rsid w:val="00FF7972"/>
    <w:rsid w:val="00FF7E3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semiHidden="0" w:uiPriority="0" w:unhideWhenUsed="0" w:qFormat="1"/>
    <w:lsdException w:name="heading 7" w:locked="1" w:uiPriority="0" w:qFormat="1"/>
    <w:lsdException w:name="heading 8" w:locked="1" w:uiPriority="0" w:qFormat="1"/>
    <w:lsdException w:name="heading 9" w:locked="1" w:uiPriority="0" w:qFormat="1"/>
    <w:lsdException w:name="toc 1" w:locked="1" w:semiHidden="0" w:uiPriority="0"/>
    <w:lsdException w:name="toc 2" w:locked="1" w:semiHidden="0" w:uiPriority="0"/>
    <w:lsdException w:name="toc 3" w:locked="1" w:semiHidden="0" w:uiPriority="0"/>
    <w:lsdException w:name="toc 4" w:locked="1" w:semiHidden="0" w:uiPriority="0"/>
    <w:lsdException w:name="toc 5" w:locked="1" w:semiHidden="0" w:uiPriority="0"/>
    <w:lsdException w:name="toc 6" w:locked="1" w:semiHidden="0" w:uiPriority="0"/>
    <w:lsdException w:name="toc 7" w:locked="1" w:semiHidden="0" w:uiPriority="0"/>
    <w:lsdException w:name="toc 8" w:locked="1" w:semiHidden="0" w:uiPriority="0"/>
    <w:lsdException w:name="toc 9" w:locked="1" w:semiHidden="0" w:uiPriority="0"/>
    <w:lsdException w:name="Normal Indent" w:uiPriority="0"/>
    <w:lsdException w:name="footnote text" w:uiPriority="0"/>
    <w:lsdException w:name="annotation text" w:locked="1" w:semiHidden="0" w:uiPriority="0"/>
    <w:lsdException w:name="header" w:uiPriority="0"/>
    <w:lsdException w:name="footer" w:locked="1" w:semiHidden="0"/>
    <w:lsdException w:name="caption" w:locked="1" w:semiHidden="0" w:uiPriority="0" w:qFormat="1"/>
    <w:lsdException w:name="footnote reference" w:uiPriority="0"/>
    <w:lsdException w:name="annotation reference" w:locked="1" w:semiHidden="0" w:uiPriority="0"/>
    <w:lsdException w:name="page number" w:uiPriority="0"/>
    <w:lsdException w:name="endnote reference" w:uiPriority="0"/>
    <w:lsdException w:name="endnote text" w:uiPriority="0"/>
    <w:lsdException w:name="List" w:uiPriority="0"/>
    <w:lsdException w:name="Title" w:locked="1" w:semiHidden="0" w:uiPriority="0" w:unhideWhenUsed="0" w:qFormat="1"/>
    <w:lsdException w:name="Default Paragraph Font" w:locked="1" w:semiHidden="0" w:uiPriority="0"/>
    <w:lsdException w:name="Body Text" w:uiPriority="0"/>
    <w:lsdException w:name="Body Text Indent" w:uiPriority="0"/>
    <w:lsdException w:name="Subtitle" w:locked="1" w:semiHidden="0" w:uiPriority="0" w:unhideWhenUsed="0" w:qFormat="1"/>
    <w:lsdException w:name="Salutation" w:uiPriority="0"/>
    <w:lsdException w:name="Date" w:uiPriority="0"/>
    <w:lsdException w:name="Body Text First Indent" w:uiPriority="0"/>
    <w:lsdException w:name="Body Text 2" w:uiPriority="0"/>
    <w:lsdException w:name="Body Text 3" w:uiPriority="0"/>
    <w:lsdException w:name="Body Text Indent 2" w:uiPriority="0"/>
    <w:lsdException w:name="Body Text Indent 3" w:uiPriority="0"/>
    <w:lsdException w:name="Hyperlink" w:uiPriority="0"/>
    <w:lsdException w:name="FollowedHyperlink" w:uiPriority="0"/>
    <w:lsdException w:name="Strong" w:locked="1" w:semiHidden="0" w:uiPriority="0" w:unhideWhenUsed="0" w:qFormat="1"/>
    <w:lsdException w:name="Emphasis" w:locked="1" w:semiHidden="0" w:uiPriority="0" w:unhideWhenUsed="0" w:qFormat="1"/>
    <w:lsdException w:name="Document Map" w:uiPriority="0"/>
    <w:lsdException w:name="Plain Text" w:uiPriority="0"/>
    <w:lsdException w:name="HTML Bottom of Form" w:uiPriority="0"/>
    <w:lsdException w:name="Normal (Web)" w:uiPriority="0"/>
    <w:lsdException w:name="HTML Preformatted" w:uiPriority="0"/>
    <w:lsdException w:name="HTML Sample" w:uiPriority="0"/>
    <w:lsdException w:name="annotation subject" w:uiPriority="0"/>
    <w:lsdException w:name="Table Simple 1" w:uiPriority="0"/>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B4294"/>
    <w:pPr>
      <w:widowControl w:val="0"/>
      <w:jc w:val="both"/>
    </w:pPr>
    <w:rPr>
      <w:kern w:val="2"/>
      <w:sz w:val="21"/>
      <w:szCs w:val="24"/>
    </w:rPr>
  </w:style>
  <w:style w:type="paragraph" w:styleId="1">
    <w:name w:val="heading 1"/>
    <w:basedOn w:val="a"/>
    <w:link w:val="1Char"/>
    <w:qFormat/>
    <w:rsid w:val="002B4294"/>
    <w:pPr>
      <w:widowControl/>
      <w:spacing w:before="100" w:beforeAutospacing="1" w:after="100" w:afterAutospacing="1"/>
      <w:jc w:val="left"/>
      <w:outlineLvl w:val="0"/>
    </w:pPr>
    <w:rPr>
      <w:rFonts w:ascii="宋体" w:hAnsi="宋体" w:cs="宋体"/>
      <w:b/>
      <w:bCs/>
      <w:kern w:val="36"/>
      <w:sz w:val="48"/>
      <w:szCs w:val="48"/>
    </w:rPr>
  </w:style>
  <w:style w:type="paragraph" w:styleId="2">
    <w:name w:val="heading 2"/>
    <w:aliases w:val="H2"/>
    <w:basedOn w:val="a"/>
    <w:next w:val="a"/>
    <w:link w:val="2Char"/>
    <w:qFormat/>
    <w:rsid w:val="002B4294"/>
    <w:pPr>
      <w:keepNext/>
      <w:keepLines/>
      <w:spacing w:before="260" w:after="260" w:line="416" w:lineRule="auto"/>
      <w:outlineLvl w:val="1"/>
    </w:pPr>
    <w:rPr>
      <w:rFonts w:ascii="Cambria" w:hAnsi="Cambria"/>
      <w:b/>
      <w:bCs/>
      <w:sz w:val="32"/>
      <w:szCs w:val="32"/>
      <w:lang w:val="x-none" w:eastAsia="x-none"/>
    </w:rPr>
  </w:style>
  <w:style w:type="paragraph" w:styleId="3">
    <w:name w:val="heading 3"/>
    <w:basedOn w:val="a"/>
    <w:next w:val="a"/>
    <w:link w:val="3Char"/>
    <w:qFormat/>
    <w:rsid w:val="005C0CF7"/>
    <w:pPr>
      <w:keepNext/>
      <w:keepLines/>
      <w:spacing w:before="260" w:after="260" w:line="416" w:lineRule="auto"/>
      <w:outlineLvl w:val="2"/>
    </w:pPr>
    <w:rPr>
      <w:b/>
      <w:bCs/>
      <w:sz w:val="32"/>
      <w:szCs w:val="32"/>
      <w:lang w:val="x-none" w:eastAsia="x-none"/>
    </w:rPr>
  </w:style>
  <w:style w:type="paragraph" w:styleId="4">
    <w:name w:val="heading 4"/>
    <w:basedOn w:val="a"/>
    <w:next w:val="a"/>
    <w:link w:val="4Char"/>
    <w:qFormat/>
    <w:locked/>
    <w:rsid w:val="001C0E8F"/>
    <w:pPr>
      <w:keepNext/>
      <w:spacing w:line="240" w:lineRule="exact"/>
      <w:outlineLvl w:val="3"/>
    </w:pPr>
    <w:rPr>
      <w:b/>
      <w:kern w:val="0"/>
      <w:sz w:val="20"/>
      <w:szCs w:val="20"/>
      <w:lang w:val="x-none" w:eastAsia="x-none"/>
    </w:rPr>
  </w:style>
  <w:style w:type="paragraph" w:styleId="6">
    <w:name w:val="heading 6"/>
    <w:basedOn w:val="a"/>
    <w:next w:val="a"/>
    <w:link w:val="6Char"/>
    <w:qFormat/>
    <w:locked/>
    <w:rsid w:val="001C0E8F"/>
    <w:pPr>
      <w:keepNext/>
      <w:spacing w:line="240" w:lineRule="exact"/>
      <w:outlineLvl w:val="5"/>
    </w:pPr>
    <w:rPr>
      <w:b/>
      <w:kern w:val="0"/>
      <w:sz w:val="20"/>
      <w:szCs w:val="20"/>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link w:val="1"/>
    <w:locked/>
    <w:rsid w:val="002B4294"/>
    <w:rPr>
      <w:rFonts w:ascii="宋体" w:eastAsia="宋体" w:hAnsi="宋体" w:cs="宋体"/>
      <w:b/>
      <w:bCs/>
      <w:kern w:val="36"/>
      <w:sz w:val="48"/>
      <w:szCs w:val="48"/>
      <w:lang w:val="en-US" w:eastAsia="zh-CN" w:bidi="ar-SA"/>
    </w:rPr>
  </w:style>
  <w:style w:type="character" w:customStyle="1" w:styleId="2Char">
    <w:name w:val="标题 2 Char"/>
    <w:aliases w:val="H2 Char"/>
    <w:link w:val="2"/>
    <w:locked/>
    <w:rsid w:val="006A2BF5"/>
    <w:rPr>
      <w:rFonts w:ascii="Cambria" w:eastAsia="宋体" w:hAnsi="Cambria" w:cs="Times New Roman"/>
      <w:b/>
      <w:bCs/>
      <w:kern w:val="2"/>
      <w:sz w:val="32"/>
      <w:szCs w:val="32"/>
    </w:rPr>
  </w:style>
  <w:style w:type="character" w:customStyle="1" w:styleId="3Char">
    <w:name w:val="标题 3 Char"/>
    <w:link w:val="3"/>
    <w:locked/>
    <w:rsid w:val="005C0CF7"/>
    <w:rPr>
      <w:rFonts w:cs="Times New Roman"/>
      <w:b/>
      <w:bCs/>
      <w:kern w:val="2"/>
      <w:sz w:val="32"/>
      <w:szCs w:val="32"/>
    </w:rPr>
  </w:style>
  <w:style w:type="character" w:customStyle="1" w:styleId="4Char">
    <w:name w:val="标题 4 Char"/>
    <w:link w:val="4"/>
    <w:rsid w:val="001C0E8F"/>
    <w:rPr>
      <w:b/>
      <w:lang w:val="x-none" w:eastAsia="x-none"/>
    </w:rPr>
  </w:style>
  <w:style w:type="character" w:customStyle="1" w:styleId="6Char">
    <w:name w:val="标题 6 Char"/>
    <w:link w:val="6"/>
    <w:rsid w:val="001C0E8F"/>
    <w:rPr>
      <w:b/>
      <w:lang w:val="x-none" w:eastAsia="x-none"/>
    </w:rPr>
  </w:style>
  <w:style w:type="paragraph" w:styleId="a3">
    <w:name w:val="Balloon Text"/>
    <w:basedOn w:val="a"/>
    <w:link w:val="Char"/>
    <w:uiPriority w:val="99"/>
    <w:rsid w:val="002B4294"/>
    <w:rPr>
      <w:sz w:val="18"/>
      <w:szCs w:val="18"/>
    </w:rPr>
  </w:style>
  <w:style w:type="character" w:customStyle="1" w:styleId="Char">
    <w:name w:val="批注框文本 Char"/>
    <w:link w:val="a3"/>
    <w:uiPriority w:val="99"/>
    <w:locked/>
    <w:rsid w:val="002B4294"/>
    <w:rPr>
      <w:rFonts w:eastAsia="宋体" w:cs="Times New Roman"/>
      <w:kern w:val="2"/>
      <w:sz w:val="18"/>
      <w:szCs w:val="18"/>
      <w:lang w:val="en-US" w:eastAsia="zh-CN" w:bidi="ar-SA"/>
    </w:rPr>
  </w:style>
  <w:style w:type="character" w:customStyle="1" w:styleId="p1481">
    <w:name w:val="p1481"/>
    <w:rsid w:val="002B4294"/>
    <w:rPr>
      <w:rFonts w:cs="Times New Roman"/>
    </w:rPr>
  </w:style>
  <w:style w:type="paragraph" w:styleId="a4">
    <w:name w:val="Plain Text"/>
    <w:aliases w:val="Char Char Char Char Char,普通文字, Char Char Char Char Char"/>
    <w:basedOn w:val="a"/>
    <w:link w:val="Char0"/>
    <w:rsid w:val="002B4294"/>
    <w:pPr>
      <w:widowControl/>
      <w:spacing w:before="100" w:beforeAutospacing="1" w:after="100" w:afterAutospacing="1"/>
      <w:jc w:val="left"/>
    </w:pPr>
    <w:rPr>
      <w:rFonts w:ascii="宋体" w:hAnsi="宋体" w:cs="宋体"/>
      <w:kern w:val="0"/>
      <w:sz w:val="24"/>
    </w:rPr>
  </w:style>
  <w:style w:type="character" w:customStyle="1" w:styleId="Char0">
    <w:name w:val="纯文本 Char"/>
    <w:aliases w:val="Char Char Char Char Char Char1,普通文字 Char1, Char Char Char Char Char Char"/>
    <w:link w:val="a4"/>
    <w:locked/>
    <w:rsid w:val="002B4294"/>
    <w:rPr>
      <w:rFonts w:ascii="宋体" w:eastAsia="宋体" w:hAnsi="宋体" w:cs="宋体"/>
      <w:sz w:val="24"/>
      <w:szCs w:val="24"/>
      <w:lang w:val="en-US" w:eastAsia="zh-CN" w:bidi="ar-SA"/>
    </w:rPr>
  </w:style>
  <w:style w:type="paragraph" w:styleId="a5">
    <w:name w:val="Normal (Web)"/>
    <w:basedOn w:val="a"/>
    <w:rsid w:val="002B4294"/>
    <w:pPr>
      <w:widowControl/>
      <w:spacing w:before="100" w:beforeAutospacing="1" w:after="100" w:afterAutospacing="1"/>
      <w:jc w:val="left"/>
    </w:pPr>
    <w:rPr>
      <w:rFonts w:ascii="宋体" w:hAnsi="宋体" w:cs="宋体"/>
      <w:kern w:val="0"/>
      <w:sz w:val="24"/>
    </w:rPr>
  </w:style>
  <w:style w:type="paragraph" w:styleId="30">
    <w:name w:val="Body Text Indent 3"/>
    <w:basedOn w:val="a"/>
    <w:link w:val="3Char0"/>
    <w:rsid w:val="002B4294"/>
    <w:pPr>
      <w:spacing w:beforeLines="50" w:afterLines="50" w:line="360" w:lineRule="exact"/>
      <w:ind w:firstLineChars="200" w:firstLine="480"/>
    </w:pPr>
    <w:rPr>
      <w:sz w:val="16"/>
      <w:szCs w:val="16"/>
      <w:lang w:val="x-none" w:eastAsia="x-none"/>
    </w:rPr>
  </w:style>
  <w:style w:type="character" w:customStyle="1" w:styleId="3Char0">
    <w:name w:val="正文文本缩进 3 Char"/>
    <w:link w:val="30"/>
    <w:locked/>
    <w:rsid w:val="006A2BF5"/>
    <w:rPr>
      <w:rFonts w:cs="Times New Roman"/>
      <w:kern w:val="2"/>
      <w:sz w:val="16"/>
      <w:szCs w:val="16"/>
    </w:rPr>
  </w:style>
  <w:style w:type="paragraph" w:customStyle="1" w:styleId="Char1">
    <w:name w:val="Char"/>
    <w:basedOn w:val="a"/>
    <w:rsid w:val="002B4294"/>
    <w:rPr>
      <w:rFonts w:ascii="Tahoma" w:hAnsi="Tahoma"/>
      <w:sz w:val="24"/>
      <w:szCs w:val="20"/>
    </w:rPr>
  </w:style>
  <w:style w:type="paragraph" w:customStyle="1" w:styleId="a6">
    <w:name w:val="列项——（一级）"/>
    <w:rsid w:val="002B4294"/>
    <w:pPr>
      <w:widowControl w:val="0"/>
      <w:tabs>
        <w:tab w:val="num" w:pos="780"/>
      </w:tabs>
      <w:ind w:left="780" w:hanging="360"/>
      <w:jc w:val="both"/>
    </w:pPr>
    <w:rPr>
      <w:rFonts w:ascii="宋体"/>
      <w:sz w:val="21"/>
    </w:rPr>
  </w:style>
  <w:style w:type="paragraph" w:styleId="a7">
    <w:name w:val="annotation text"/>
    <w:basedOn w:val="a"/>
    <w:link w:val="Char2"/>
    <w:rsid w:val="002B4294"/>
    <w:pPr>
      <w:jc w:val="left"/>
    </w:pPr>
    <w:rPr>
      <w:sz w:val="24"/>
    </w:rPr>
  </w:style>
  <w:style w:type="character" w:customStyle="1" w:styleId="Char2">
    <w:name w:val="批注文字 Char"/>
    <w:link w:val="a7"/>
    <w:locked/>
    <w:rsid w:val="002B4294"/>
    <w:rPr>
      <w:rFonts w:eastAsia="宋体" w:cs="Times New Roman"/>
      <w:kern w:val="2"/>
      <w:sz w:val="24"/>
      <w:szCs w:val="24"/>
      <w:lang w:val="en-US" w:eastAsia="zh-CN" w:bidi="ar-SA"/>
    </w:rPr>
  </w:style>
  <w:style w:type="character" w:styleId="HTML">
    <w:name w:val="HTML Sample"/>
    <w:rsid w:val="002B4294"/>
    <w:rPr>
      <w:rFonts w:ascii="Courier New" w:hAnsi="Courier New" w:cs="Times New Roman"/>
    </w:rPr>
  </w:style>
  <w:style w:type="paragraph" w:customStyle="1" w:styleId="a8">
    <w:name w:val="段"/>
    <w:rsid w:val="002B4294"/>
    <w:pPr>
      <w:autoSpaceDE w:val="0"/>
      <w:autoSpaceDN w:val="0"/>
      <w:ind w:firstLineChars="200" w:firstLine="200"/>
      <w:jc w:val="both"/>
    </w:pPr>
    <w:rPr>
      <w:rFonts w:ascii="宋体"/>
      <w:noProof/>
      <w:sz w:val="21"/>
    </w:rPr>
  </w:style>
  <w:style w:type="paragraph" w:styleId="a9">
    <w:name w:val="footer"/>
    <w:basedOn w:val="a"/>
    <w:link w:val="Char3"/>
    <w:uiPriority w:val="99"/>
    <w:rsid w:val="002B4294"/>
    <w:pPr>
      <w:tabs>
        <w:tab w:val="center" w:pos="4153"/>
        <w:tab w:val="right" w:pos="8306"/>
      </w:tabs>
      <w:snapToGrid w:val="0"/>
      <w:jc w:val="left"/>
    </w:pPr>
    <w:rPr>
      <w:sz w:val="18"/>
      <w:szCs w:val="18"/>
    </w:rPr>
  </w:style>
  <w:style w:type="character" w:customStyle="1" w:styleId="Char3">
    <w:name w:val="页脚 Char"/>
    <w:link w:val="a9"/>
    <w:uiPriority w:val="99"/>
    <w:locked/>
    <w:rsid w:val="002B4294"/>
    <w:rPr>
      <w:rFonts w:eastAsia="宋体" w:cs="Times New Roman"/>
      <w:kern w:val="2"/>
      <w:sz w:val="18"/>
      <w:szCs w:val="18"/>
      <w:lang w:val="en-US" w:eastAsia="zh-CN" w:bidi="ar-SA"/>
    </w:rPr>
  </w:style>
  <w:style w:type="character" w:styleId="aa">
    <w:name w:val="page number"/>
    <w:rsid w:val="002B4294"/>
    <w:rPr>
      <w:rFonts w:cs="Times New Roman"/>
    </w:rPr>
  </w:style>
  <w:style w:type="paragraph" w:styleId="ab">
    <w:name w:val="Date"/>
    <w:basedOn w:val="a"/>
    <w:next w:val="a"/>
    <w:link w:val="Char4"/>
    <w:rsid w:val="002B4294"/>
    <w:rPr>
      <w:sz w:val="24"/>
      <w:lang w:val="x-none" w:eastAsia="x-none"/>
    </w:rPr>
  </w:style>
  <w:style w:type="character" w:customStyle="1" w:styleId="Char4">
    <w:name w:val="日期 Char"/>
    <w:link w:val="ab"/>
    <w:locked/>
    <w:rsid w:val="006A2BF5"/>
    <w:rPr>
      <w:rFonts w:cs="Times New Roman"/>
      <w:kern w:val="2"/>
      <w:sz w:val="24"/>
      <w:szCs w:val="24"/>
    </w:rPr>
  </w:style>
  <w:style w:type="paragraph" w:styleId="ac">
    <w:name w:val="Salutation"/>
    <w:basedOn w:val="a"/>
    <w:next w:val="a"/>
    <w:link w:val="Char5"/>
    <w:rsid w:val="002B4294"/>
    <w:pPr>
      <w:adjustRightInd w:val="0"/>
      <w:spacing w:line="312" w:lineRule="atLeast"/>
      <w:textAlignment w:val="baseline"/>
    </w:pPr>
    <w:rPr>
      <w:sz w:val="24"/>
      <w:lang w:val="x-none" w:eastAsia="x-none"/>
    </w:rPr>
  </w:style>
  <w:style w:type="character" w:customStyle="1" w:styleId="Char5">
    <w:name w:val="称呼 Char"/>
    <w:link w:val="ac"/>
    <w:locked/>
    <w:rsid w:val="006A2BF5"/>
    <w:rPr>
      <w:rFonts w:cs="Times New Roman"/>
      <w:kern w:val="2"/>
      <w:sz w:val="24"/>
      <w:szCs w:val="24"/>
    </w:rPr>
  </w:style>
  <w:style w:type="paragraph" w:customStyle="1" w:styleId="ad">
    <w:name w:val="前言、引言标题"/>
    <w:next w:val="a"/>
    <w:rsid w:val="002B4294"/>
    <w:pPr>
      <w:shd w:val="clear" w:color="FFFFFF" w:fill="FFFFFF"/>
      <w:spacing w:before="640" w:after="560"/>
      <w:jc w:val="center"/>
      <w:outlineLvl w:val="0"/>
    </w:pPr>
    <w:rPr>
      <w:rFonts w:ascii="黑体" w:eastAsia="黑体"/>
      <w:sz w:val="32"/>
    </w:rPr>
  </w:style>
  <w:style w:type="paragraph" w:customStyle="1" w:styleId="ae">
    <w:name w:val="章标题"/>
    <w:next w:val="a8"/>
    <w:rsid w:val="002B4294"/>
    <w:pPr>
      <w:spacing w:beforeLines="50" w:afterLines="50"/>
      <w:jc w:val="both"/>
      <w:outlineLvl w:val="1"/>
    </w:pPr>
    <w:rPr>
      <w:rFonts w:ascii="黑体" w:eastAsia="黑体"/>
      <w:sz w:val="21"/>
    </w:rPr>
  </w:style>
  <w:style w:type="paragraph" w:customStyle="1" w:styleId="af">
    <w:name w:val="一级条标题"/>
    <w:next w:val="a8"/>
    <w:rsid w:val="002B4294"/>
    <w:pPr>
      <w:outlineLvl w:val="2"/>
    </w:pPr>
    <w:rPr>
      <w:rFonts w:eastAsia="黑体"/>
      <w:sz w:val="21"/>
    </w:rPr>
  </w:style>
  <w:style w:type="paragraph" w:customStyle="1" w:styleId="af0">
    <w:name w:val="二级条标题"/>
    <w:basedOn w:val="af"/>
    <w:next w:val="a8"/>
    <w:rsid w:val="002B4294"/>
    <w:pPr>
      <w:numPr>
        <w:ilvl w:val="3"/>
      </w:numPr>
      <w:outlineLvl w:val="3"/>
    </w:pPr>
  </w:style>
  <w:style w:type="paragraph" w:customStyle="1" w:styleId="af1">
    <w:name w:val="三级条标题"/>
    <w:basedOn w:val="af0"/>
    <w:next w:val="a8"/>
    <w:rsid w:val="002B4294"/>
    <w:pPr>
      <w:numPr>
        <w:ilvl w:val="4"/>
      </w:numPr>
      <w:outlineLvl w:val="4"/>
    </w:pPr>
  </w:style>
  <w:style w:type="paragraph" w:customStyle="1" w:styleId="af2">
    <w:name w:val="四级条标题"/>
    <w:basedOn w:val="af1"/>
    <w:next w:val="a8"/>
    <w:rsid w:val="002B4294"/>
    <w:pPr>
      <w:numPr>
        <w:ilvl w:val="5"/>
      </w:numPr>
      <w:outlineLvl w:val="5"/>
    </w:pPr>
  </w:style>
  <w:style w:type="paragraph" w:customStyle="1" w:styleId="af3">
    <w:name w:val="五级条标题"/>
    <w:basedOn w:val="af2"/>
    <w:next w:val="a8"/>
    <w:rsid w:val="002B4294"/>
    <w:pPr>
      <w:numPr>
        <w:ilvl w:val="6"/>
      </w:numPr>
      <w:outlineLvl w:val="6"/>
    </w:pPr>
  </w:style>
  <w:style w:type="paragraph" w:styleId="af4">
    <w:name w:val="Body Text Indent"/>
    <w:basedOn w:val="a"/>
    <w:link w:val="Char6"/>
    <w:rsid w:val="002B4294"/>
    <w:pPr>
      <w:spacing w:after="120"/>
      <w:ind w:leftChars="200" w:left="420"/>
    </w:pPr>
    <w:rPr>
      <w:sz w:val="24"/>
      <w:lang w:val="x-none" w:eastAsia="x-none"/>
    </w:rPr>
  </w:style>
  <w:style w:type="character" w:customStyle="1" w:styleId="Char6">
    <w:name w:val="正文文本缩进 Char"/>
    <w:link w:val="af4"/>
    <w:locked/>
    <w:rsid w:val="006A2BF5"/>
    <w:rPr>
      <w:rFonts w:cs="Times New Roman"/>
      <w:kern w:val="2"/>
      <w:sz w:val="24"/>
      <w:szCs w:val="24"/>
    </w:rPr>
  </w:style>
  <w:style w:type="paragraph" w:styleId="af5">
    <w:name w:val="header"/>
    <w:basedOn w:val="a"/>
    <w:link w:val="Char7"/>
    <w:rsid w:val="002B4294"/>
    <w:pPr>
      <w:pBdr>
        <w:bottom w:val="single" w:sz="6" w:space="1" w:color="auto"/>
      </w:pBdr>
      <w:tabs>
        <w:tab w:val="center" w:pos="4153"/>
        <w:tab w:val="right" w:pos="8306"/>
      </w:tabs>
      <w:snapToGrid w:val="0"/>
      <w:jc w:val="center"/>
    </w:pPr>
    <w:rPr>
      <w:rFonts w:ascii="Calibri" w:hAnsi="Calibri"/>
      <w:sz w:val="18"/>
      <w:szCs w:val="18"/>
    </w:rPr>
  </w:style>
  <w:style w:type="character" w:customStyle="1" w:styleId="Char7">
    <w:name w:val="页眉 Char"/>
    <w:link w:val="af5"/>
    <w:locked/>
    <w:rsid w:val="002B4294"/>
    <w:rPr>
      <w:rFonts w:ascii="Calibri" w:eastAsia="宋体" w:hAnsi="Calibri" w:cs="Times New Roman"/>
      <w:kern w:val="2"/>
      <w:sz w:val="18"/>
      <w:szCs w:val="18"/>
      <w:lang w:val="en-US" w:eastAsia="zh-CN" w:bidi="ar-SA"/>
    </w:rPr>
  </w:style>
  <w:style w:type="table" w:styleId="af6">
    <w:name w:val="Table Grid"/>
    <w:basedOn w:val="a1"/>
    <w:uiPriority w:val="59"/>
    <w:rsid w:val="002B4294"/>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7">
    <w:name w:val="Document Map"/>
    <w:basedOn w:val="a"/>
    <w:link w:val="Char8"/>
    <w:rsid w:val="002B4294"/>
    <w:pPr>
      <w:shd w:val="clear" w:color="auto" w:fill="000080"/>
    </w:pPr>
    <w:rPr>
      <w:sz w:val="2"/>
      <w:szCs w:val="20"/>
      <w:lang w:val="x-none" w:eastAsia="x-none"/>
    </w:rPr>
  </w:style>
  <w:style w:type="character" w:customStyle="1" w:styleId="Char8">
    <w:name w:val="文档结构图 Char"/>
    <w:link w:val="af7"/>
    <w:locked/>
    <w:rsid w:val="006A2BF5"/>
    <w:rPr>
      <w:rFonts w:cs="Times New Roman"/>
      <w:kern w:val="2"/>
      <w:sz w:val="2"/>
    </w:rPr>
  </w:style>
  <w:style w:type="paragraph" w:styleId="af8">
    <w:name w:val="footnote text"/>
    <w:basedOn w:val="a"/>
    <w:link w:val="Char9"/>
    <w:rsid w:val="002B4294"/>
    <w:pPr>
      <w:snapToGrid w:val="0"/>
      <w:jc w:val="left"/>
    </w:pPr>
    <w:rPr>
      <w:sz w:val="18"/>
      <w:szCs w:val="18"/>
    </w:rPr>
  </w:style>
  <w:style w:type="character" w:customStyle="1" w:styleId="Char9">
    <w:name w:val="脚注文本 Char"/>
    <w:link w:val="af8"/>
    <w:locked/>
    <w:rsid w:val="002B4294"/>
    <w:rPr>
      <w:rFonts w:eastAsia="宋体" w:cs="Times New Roman"/>
      <w:kern w:val="2"/>
      <w:sz w:val="18"/>
      <w:szCs w:val="18"/>
      <w:lang w:val="en-US" w:eastAsia="zh-CN" w:bidi="ar-SA"/>
    </w:rPr>
  </w:style>
  <w:style w:type="character" w:styleId="af9">
    <w:name w:val="footnote reference"/>
    <w:rsid w:val="002B4294"/>
    <w:rPr>
      <w:rFonts w:cs="Times New Roman"/>
      <w:vertAlign w:val="superscript"/>
    </w:rPr>
  </w:style>
  <w:style w:type="paragraph" w:styleId="HTML0">
    <w:name w:val="HTML Preformatted"/>
    <w:basedOn w:val="a"/>
    <w:link w:val="HTMLChar"/>
    <w:rsid w:val="002B429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sz w:val="20"/>
      <w:szCs w:val="20"/>
      <w:lang w:val="x-none" w:eastAsia="x-none"/>
    </w:rPr>
  </w:style>
  <w:style w:type="character" w:customStyle="1" w:styleId="HTMLChar">
    <w:name w:val="HTML 预设格式 Char"/>
    <w:link w:val="HTML0"/>
    <w:locked/>
    <w:rsid w:val="006A2BF5"/>
    <w:rPr>
      <w:rFonts w:ascii="Courier New" w:hAnsi="Courier New" w:cs="Courier New"/>
      <w:kern w:val="2"/>
    </w:rPr>
  </w:style>
  <w:style w:type="paragraph" w:customStyle="1" w:styleId="CharCharCharCharCharChar">
    <w:name w:val="Char Char Char Char Char Char"/>
    <w:basedOn w:val="a"/>
    <w:uiPriority w:val="99"/>
    <w:rsid w:val="002B4294"/>
    <w:pPr>
      <w:widowControl/>
      <w:spacing w:after="160" w:line="240" w:lineRule="exact"/>
      <w:ind w:leftChars="27" w:left="27" w:rightChars="200" w:right="200" w:firstLineChars="200" w:firstLine="200"/>
      <w:jc w:val="left"/>
    </w:pPr>
    <w:rPr>
      <w:rFonts w:ascii="Arial" w:hAnsi="Arial" w:cs="Arial"/>
      <w:b/>
      <w:bCs/>
      <w:kern w:val="0"/>
      <w:sz w:val="24"/>
      <w:szCs w:val="22"/>
      <w:lang w:eastAsia="en-US"/>
    </w:rPr>
  </w:style>
  <w:style w:type="paragraph" w:customStyle="1" w:styleId="Default">
    <w:name w:val="Default"/>
    <w:rsid w:val="002B4294"/>
    <w:pPr>
      <w:widowControl w:val="0"/>
      <w:autoSpaceDE w:val="0"/>
      <w:autoSpaceDN w:val="0"/>
      <w:adjustRightInd w:val="0"/>
    </w:pPr>
    <w:rPr>
      <w:color w:val="000000"/>
      <w:sz w:val="24"/>
      <w:szCs w:val="24"/>
    </w:rPr>
  </w:style>
  <w:style w:type="character" w:customStyle="1" w:styleId="11Char">
    <w:name w:val="样式11 Char"/>
    <w:link w:val="11"/>
    <w:locked/>
    <w:rsid w:val="002B4294"/>
    <w:rPr>
      <w:rFonts w:ascii="黑体" w:eastAsia="黑体" w:hAnsi="宋体" w:cs="宋体"/>
      <w:kern w:val="2"/>
      <w:sz w:val="24"/>
      <w:lang w:val="en-US" w:eastAsia="zh-CN" w:bidi="ar-SA"/>
    </w:rPr>
  </w:style>
  <w:style w:type="paragraph" w:customStyle="1" w:styleId="11">
    <w:name w:val="样式11"/>
    <w:basedOn w:val="a"/>
    <w:link w:val="11Char"/>
    <w:rsid w:val="002B4294"/>
    <w:pPr>
      <w:spacing w:beforeLines="100" w:afterLines="100" w:line="460" w:lineRule="exact"/>
      <w:ind w:firstLineChars="189" w:firstLine="454"/>
    </w:pPr>
    <w:rPr>
      <w:rFonts w:ascii="黑体" w:eastAsia="黑体" w:hAnsi="宋体" w:cs="宋体"/>
      <w:sz w:val="24"/>
      <w:szCs w:val="20"/>
    </w:rPr>
  </w:style>
  <w:style w:type="paragraph" w:styleId="afa">
    <w:name w:val="List Paragraph"/>
    <w:basedOn w:val="a"/>
    <w:qFormat/>
    <w:rsid w:val="002B4294"/>
    <w:pPr>
      <w:ind w:firstLineChars="200" w:firstLine="420"/>
    </w:pPr>
    <w:rPr>
      <w:rFonts w:ascii="Calibri" w:hAnsi="Calibri"/>
      <w:szCs w:val="22"/>
    </w:rPr>
  </w:style>
  <w:style w:type="character" w:styleId="afb">
    <w:name w:val="annotation reference"/>
    <w:rsid w:val="00525B4A"/>
    <w:rPr>
      <w:rFonts w:cs="Times New Roman"/>
      <w:sz w:val="21"/>
      <w:szCs w:val="21"/>
    </w:rPr>
  </w:style>
  <w:style w:type="paragraph" w:styleId="afc">
    <w:name w:val="annotation subject"/>
    <w:basedOn w:val="a7"/>
    <w:next w:val="a7"/>
    <w:link w:val="Chara"/>
    <w:rsid w:val="00525B4A"/>
    <w:rPr>
      <w:b/>
      <w:bCs/>
    </w:rPr>
  </w:style>
  <w:style w:type="character" w:customStyle="1" w:styleId="Chara">
    <w:name w:val="批注主题 Char"/>
    <w:link w:val="afc"/>
    <w:locked/>
    <w:rsid w:val="006A2BF5"/>
    <w:rPr>
      <w:rFonts w:eastAsia="宋体" w:cs="Times New Roman"/>
      <w:b/>
      <w:bCs/>
      <w:kern w:val="2"/>
      <w:sz w:val="24"/>
      <w:szCs w:val="24"/>
      <w:lang w:val="en-US" w:eastAsia="zh-CN" w:bidi="ar-SA"/>
    </w:rPr>
  </w:style>
  <w:style w:type="character" w:styleId="afd">
    <w:name w:val="Hyperlink"/>
    <w:rsid w:val="00F9716D"/>
    <w:rPr>
      <w:rFonts w:cs="Times New Roman"/>
      <w:color w:val="0000FF"/>
      <w:u w:val="single"/>
    </w:rPr>
  </w:style>
  <w:style w:type="character" w:customStyle="1" w:styleId="apple-style-span">
    <w:name w:val="apple-style-span"/>
    <w:rsid w:val="00274E59"/>
    <w:rPr>
      <w:rFonts w:cs="Times New Roman"/>
    </w:rPr>
  </w:style>
  <w:style w:type="character" w:styleId="afe">
    <w:name w:val="Emphasis"/>
    <w:qFormat/>
    <w:rsid w:val="00F17AE7"/>
    <w:rPr>
      <w:rFonts w:cs="Times New Roman"/>
      <w:color w:val="CC0000"/>
    </w:rPr>
  </w:style>
  <w:style w:type="paragraph" w:styleId="aff">
    <w:name w:val="caption"/>
    <w:basedOn w:val="a"/>
    <w:next w:val="a"/>
    <w:qFormat/>
    <w:rsid w:val="00224402"/>
    <w:rPr>
      <w:rFonts w:ascii="Arial" w:eastAsia="黑体" w:hAnsi="Arial" w:cs="Arial"/>
      <w:sz w:val="20"/>
      <w:szCs w:val="20"/>
    </w:rPr>
  </w:style>
  <w:style w:type="paragraph" w:customStyle="1" w:styleId="aff0">
    <w:name w:val="报告正文"/>
    <w:basedOn w:val="a"/>
    <w:link w:val="Charb"/>
    <w:uiPriority w:val="99"/>
    <w:rsid w:val="00FD5021"/>
    <w:pPr>
      <w:autoSpaceDE w:val="0"/>
      <w:autoSpaceDN w:val="0"/>
      <w:adjustRightInd w:val="0"/>
      <w:snapToGrid w:val="0"/>
      <w:spacing w:line="320" w:lineRule="exact"/>
      <w:ind w:firstLineChars="200" w:firstLine="200"/>
      <w:jc w:val="left"/>
    </w:pPr>
    <w:rPr>
      <w:color w:val="000000"/>
      <w:szCs w:val="21"/>
      <w:lang w:val="x-none" w:eastAsia="x-none"/>
    </w:rPr>
  </w:style>
  <w:style w:type="character" w:customStyle="1" w:styleId="Charb">
    <w:name w:val="报告正文 Char"/>
    <w:link w:val="aff0"/>
    <w:uiPriority w:val="99"/>
    <w:locked/>
    <w:rsid w:val="00FD5021"/>
    <w:rPr>
      <w:rFonts w:cs="Times New Roman"/>
      <w:color w:val="000000"/>
      <w:kern w:val="2"/>
      <w:sz w:val="21"/>
      <w:szCs w:val="21"/>
    </w:rPr>
  </w:style>
  <w:style w:type="paragraph" w:customStyle="1" w:styleId="aff1">
    <w:name w:val="报告标题"/>
    <w:basedOn w:val="a"/>
    <w:next w:val="aff0"/>
    <w:link w:val="Charc"/>
    <w:uiPriority w:val="99"/>
    <w:rsid w:val="000F7BB3"/>
    <w:pPr>
      <w:tabs>
        <w:tab w:val="num" w:pos="2205"/>
      </w:tabs>
      <w:adjustRightInd w:val="0"/>
      <w:snapToGrid w:val="0"/>
      <w:spacing w:beforeLines="100" w:afterLines="50"/>
      <w:ind w:left="2205" w:hanging="420"/>
      <w:outlineLvl w:val="0"/>
    </w:pPr>
    <w:rPr>
      <w:rFonts w:eastAsia="黑体"/>
      <w:b/>
      <w:color w:val="000000"/>
      <w:sz w:val="24"/>
      <w:lang w:val="x-none" w:eastAsia="x-none"/>
    </w:rPr>
  </w:style>
  <w:style w:type="character" w:customStyle="1" w:styleId="Charc">
    <w:name w:val="报告标题 Char"/>
    <w:link w:val="aff1"/>
    <w:uiPriority w:val="99"/>
    <w:locked/>
    <w:rsid w:val="000F7BB3"/>
    <w:rPr>
      <w:rFonts w:eastAsia="黑体"/>
      <w:b/>
      <w:color w:val="000000"/>
      <w:kern w:val="2"/>
      <w:sz w:val="24"/>
      <w:szCs w:val="24"/>
    </w:rPr>
  </w:style>
  <w:style w:type="paragraph" w:customStyle="1" w:styleId="aff2">
    <w:name w:val="报告观点"/>
    <w:basedOn w:val="a"/>
    <w:link w:val="Chard"/>
    <w:uiPriority w:val="99"/>
    <w:qFormat/>
    <w:rsid w:val="000F7BB3"/>
    <w:pPr>
      <w:spacing w:beforeLines="50" w:afterLines="50"/>
      <w:outlineLvl w:val="1"/>
    </w:pPr>
    <w:rPr>
      <w:rFonts w:eastAsia="黑体"/>
      <w:b/>
      <w:szCs w:val="21"/>
      <w:lang w:val="x-none" w:eastAsia="x-none"/>
    </w:rPr>
  </w:style>
  <w:style w:type="character" w:customStyle="1" w:styleId="Chard">
    <w:name w:val="报告观点 Char"/>
    <w:link w:val="aff2"/>
    <w:uiPriority w:val="99"/>
    <w:locked/>
    <w:rsid w:val="000F7BB3"/>
    <w:rPr>
      <w:rFonts w:eastAsia="黑体" w:cs="Times New Roman"/>
      <w:b/>
      <w:kern w:val="2"/>
      <w:sz w:val="21"/>
      <w:szCs w:val="21"/>
    </w:rPr>
  </w:style>
  <w:style w:type="table" w:customStyle="1" w:styleId="aff3">
    <w:name w:val="报告表格"/>
    <w:rsid w:val="006D38F0"/>
    <w:pPr>
      <w:jc w:val="center"/>
    </w:pPr>
    <w:rPr>
      <w:color w:val="000000"/>
      <w:sz w:val="18"/>
    </w:rPr>
    <w:tblPr>
      <w:tblStyleRowBandSize w:val="1"/>
      <w:jc w:val="center"/>
      <w:tblInd w:w="0" w:type="dxa"/>
      <w:tblBorders>
        <w:top w:val="single" w:sz="4" w:space="0" w:color="auto"/>
        <w:bottom w:val="single" w:sz="4" w:space="0" w:color="auto"/>
      </w:tblBorders>
      <w:tblCellMar>
        <w:top w:w="0" w:type="dxa"/>
        <w:left w:w="108" w:type="dxa"/>
        <w:bottom w:w="0" w:type="dxa"/>
        <w:right w:w="108" w:type="dxa"/>
      </w:tblCellMar>
    </w:tblPr>
    <w:trPr>
      <w:jc w:val="center"/>
    </w:trPr>
  </w:style>
  <w:style w:type="paragraph" w:customStyle="1" w:styleId="aff4">
    <w:name w:val="报告图标题"/>
    <w:basedOn w:val="a"/>
    <w:link w:val="Chare"/>
    <w:uiPriority w:val="99"/>
    <w:rsid w:val="00435921"/>
    <w:pPr>
      <w:spacing w:beforeLines="50" w:line="300" w:lineRule="auto"/>
      <w:ind w:left="3255" w:rightChars="100" w:right="210" w:hanging="420"/>
      <w:jc w:val="center"/>
    </w:pPr>
    <w:rPr>
      <w:rFonts w:eastAsia="黑体"/>
      <w:b/>
      <w:sz w:val="20"/>
      <w:szCs w:val="20"/>
      <w:lang w:val="x-none" w:eastAsia="x-none"/>
    </w:rPr>
  </w:style>
  <w:style w:type="character" w:customStyle="1" w:styleId="Chare">
    <w:name w:val="报告图标题 Char"/>
    <w:link w:val="aff4"/>
    <w:uiPriority w:val="99"/>
    <w:locked/>
    <w:rsid w:val="00435921"/>
    <w:rPr>
      <w:rFonts w:eastAsia="黑体"/>
      <w:b/>
      <w:kern w:val="2"/>
    </w:rPr>
  </w:style>
  <w:style w:type="paragraph" w:customStyle="1" w:styleId="aff5">
    <w:name w:val="报告表标题"/>
    <w:basedOn w:val="a"/>
    <w:link w:val="Charf"/>
    <w:rsid w:val="00435921"/>
    <w:pPr>
      <w:spacing w:beforeLines="50" w:line="300" w:lineRule="auto"/>
      <w:ind w:left="5666" w:hanging="420"/>
      <w:jc w:val="center"/>
    </w:pPr>
    <w:rPr>
      <w:rFonts w:eastAsia="黑体"/>
      <w:b/>
      <w:sz w:val="20"/>
      <w:szCs w:val="20"/>
      <w:lang w:val="x-none" w:eastAsia="x-none"/>
    </w:rPr>
  </w:style>
  <w:style w:type="character" w:customStyle="1" w:styleId="Charf">
    <w:name w:val="报告表标题 Char"/>
    <w:link w:val="aff5"/>
    <w:locked/>
    <w:rsid w:val="00435921"/>
    <w:rPr>
      <w:rFonts w:eastAsia="黑体" w:cs="Arial"/>
      <w:b/>
      <w:kern w:val="2"/>
    </w:rPr>
  </w:style>
  <w:style w:type="paragraph" w:customStyle="1" w:styleId="aff6">
    <w:name w:val="报告来源"/>
    <w:basedOn w:val="a"/>
    <w:link w:val="Charf0"/>
    <w:rsid w:val="00435921"/>
    <w:pPr>
      <w:spacing w:afterLines="100" w:line="240" w:lineRule="exact"/>
      <w:ind w:firstLine="300"/>
    </w:pPr>
    <w:rPr>
      <w:rFonts w:eastAsia="黑体"/>
      <w:sz w:val="15"/>
      <w:szCs w:val="15"/>
      <w:lang w:val="x-none" w:eastAsia="x-none"/>
    </w:rPr>
  </w:style>
  <w:style w:type="character" w:customStyle="1" w:styleId="Charf0">
    <w:name w:val="报告来源 Char"/>
    <w:link w:val="aff6"/>
    <w:locked/>
    <w:rsid w:val="00435921"/>
    <w:rPr>
      <w:rFonts w:eastAsia="黑体" w:cs="Times New Roman"/>
      <w:kern w:val="2"/>
      <w:sz w:val="15"/>
      <w:szCs w:val="15"/>
    </w:rPr>
  </w:style>
  <w:style w:type="paragraph" w:customStyle="1" w:styleId="aff7">
    <w:name w:val="报告脚注"/>
    <w:basedOn w:val="af8"/>
    <w:link w:val="Charf1"/>
    <w:rsid w:val="007A3D61"/>
    <w:rPr>
      <w:rFonts w:ascii="??" w:hAnsi="??" w:cs="宋体"/>
      <w:color w:val="000000"/>
    </w:rPr>
  </w:style>
  <w:style w:type="character" w:customStyle="1" w:styleId="Charf1">
    <w:name w:val="报告脚注 Char"/>
    <w:link w:val="aff7"/>
    <w:locked/>
    <w:rsid w:val="007A3D61"/>
    <w:rPr>
      <w:rFonts w:ascii="??" w:eastAsia="宋体" w:hAnsi="??" w:cs="宋体"/>
      <w:color w:val="000000"/>
      <w:kern w:val="2"/>
      <w:sz w:val="18"/>
      <w:szCs w:val="18"/>
      <w:lang w:val="en-US" w:eastAsia="zh-CN" w:bidi="ar-SA"/>
    </w:rPr>
  </w:style>
  <w:style w:type="paragraph" w:customStyle="1" w:styleId="p0">
    <w:name w:val="p0"/>
    <w:basedOn w:val="a"/>
    <w:rsid w:val="00956669"/>
    <w:pPr>
      <w:widowControl/>
    </w:pPr>
    <w:rPr>
      <w:kern w:val="0"/>
      <w:szCs w:val="21"/>
    </w:rPr>
  </w:style>
  <w:style w:type="paragraph" w:customStyle="1" w:styleId="Char10">
    <w:name w:val="Char1"/>
    <w:basedOn w:val="a"/>
    <w:rsid w:val="00947CF4"/>
    <w:rPr>
      <w:rFonts w:ascii="Tahoma" w:hAnsi="Tahoma"/>
      <w:sz w:val="24"/>
      <w:szCs w:val="20"/>
    </w:rPr>
  </w:style>
  <w:style w:type="character" w:customStyle="1" w:styleId="tableheadChar">
    <w:name w:val="table_head Char"/>
    <w:link w:val="tablehead"/>
    <w:rsid w:val="00377CA0"/>
    <w:rPr>
      <w:b/>
      <w:color w:val="FFFFFF"/>
      <w:kern w:val="2"/>
      <w:sz w:val="18"/>
      <w:szCs w:val="18"/>
    </w:rPr>
  </w:style>
  <w:style w:type="paragraph" w:customStyle="1" w:styleId="tablehead">
    <w:name w:val="table_head"/>
    <w:basedOn w:val="a"/>
    <w:link w:val="tableheadChar"/>
    <w:qFormat/>
    <w:rsid w:val="00377CA0"/>
    <w:pPr>
      <w:spacing w:line="300" w:lineRule="auto"/>
      <w:jc w:val="center"/>
    </w:pPr>
    <w:rPr>
      <w:b/>
      <w:color w:val="FFFFFF"/>
      <w:sz w:val="18"/>
      <w:szCs w:val="18"/>
      <w:lang w:val="x-none" w:eastAsia="x-none"/>
    </w:rPr>
  </w:style>
  <w:style w:type="paragraph" w:customStyle="1" w:styleId="CharCharCharCharCharCharChar">
    <w:name w:val="Char Char Char Char Char Char Char"/>
    <w:basedOn w:val="a"/>
    <w:rsid w:val="00480E47"/>
    <w:rPr>
      <w:szCs w:val="21"/>
    </w:rPr>
  </w:style>
  <w:style w:type="character" w:customStyle="1" w:styleId="PlainTextChar">
    <w:name w:val="Plain Text Char"/>
    <w:aliases w:val="Char Char,普通文字 Char, Char Char Char Char Char Char1"/>
    <w:locked/>
    <w:rsid w:val="001C0E8F"/>
    <w:rPr>
      <w:rFonts w:ascii="宋体" w:hAnsi="Courier New" w:cs="Times New Roman"/>
      <w:sz w:val="21"/>
    </w:rPr>
  </w:style>
  <w:style w:type="paragraph" w:customStyle="1" w:styleId="10">
    <w:name w:val="1"/>
    <w:basedOn w:val="a"/>
    <w:rsid w:val="001C0E8F"/>
    <w:pPr>
      <w:widowControl/>
      <w:spacing w:after="160" w:line="240" w:lineRule="exact"/>
      <w:jc w:val="left"/>
    </w:pPr>
    <w:rPr>
      <w:rFonts w:ascii="Verdana" w:hAnsi="Verdana"/>
      <w:kern w:val="0"/>
      <w:sz w:val="20"/>
      <w:szCs w:val="20"/>
      <w:lang w:eastAsia="en-US"/>
    </w:rPr>
  </w:style>
  <w:style w:type="paragraph" w:customStyle="1" w:styleId="12">
    <w:name w:val="列出段落1"/>
    <w:basedOn w:val="a"/>
    <w:rsid w:val="001C0E8F"/>
    <w:pPr>
      <w:ind w:firstLineChars="200" w:firstLine="420"/>
    </w:pPr>
  </w:style>
  <w:style w:type="paragraph" w:customStyle="1" w:styleId="2Char0">
    <w:name w:val="2 Char"/>
    <w:basedOn w:val="a"/>
    <w:rsid w:val="001C0E8F"/>
    <w:pPr>
      <w:widowControl/>
      <w:spacing w:after="160" w:line="240" w:lineRule="exact"/>
      <w:jc w:val="left"/>
    </w:pPr>
    <w:rPr>
      <w:rFonts w:ascii="Verdana" w:hAnsi="Verdana"/>
      <w:kern w:val="0"/>
      <w:sz w:val="20"/>
      <w:szCs w:val="20"/>
      <w:lang w:eastAsia="en-US"/>
    </w:rPr>
  </w:style>
  <w:style w:type="table" w:customStyle="1" w:styleId="13">
    <w:name w:val="网格型1"/>
    <w:rsid w:val="001C0E8F"/>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f2">
    <w:name w:val="募集正文 Char"/>
    <w:link w:val="aff8"/>
    <w:locked/>
    <w:rsid w:val="001C0E8F"/>
    <w:rPr>
      <w:rFonts w:ascii="楷体_GB2312" w:eastAsia="楷体_GB2312"/>
      <w:sz w:val="24"/>
    </w:rPr>
  </w:style>
  <w:style w:type="paragraph" w:customStyle="1" w:styleId="aff8">
    <w:name w:val="募集正文"/>
    <w:basedOn w:val="aff9"/>
    <w:link w:val="Charf2"/>
    <w:rsid w:val="001C0E8F"/>
    <w:pPr>
      <w:spacing w:line="288" w:lineRule="auto"/>
      <w:ind w:firstLine="200"/>
    </w:pPr>
    <w:rPr>
      <w:rFonts w:ascii="楷体_GB2312" w:eastAsia="楷体_GB2312"/>
      <w:kern w:val="0"/>
      <w:sz w:val="24"/>
      <w:szCs w:val="20"/>
      <w:lang w:val="x-none" w:eastAsia="x-none"/>
    </w:rPr>
  </w:style>
  <w:style w:type="paragraph" w:styleId="aff9">
    <w:name w:val="Normal Indent"/>
    <w:aliases w:val="表正文,正文非缩进"/>
    <w:basedOn w:val="a"/>
    <w:rsid w:val="001C0E8F"/>
    <w:pPr>
      <w:ind w:firstLineChars="200" w:firstLine="420"/>
    </w:pPr>
  </w:style>
  <w:style w:type="paragraph" w:customStyle="1" w:styleId="CharCharCharCharCharChar2">
    <w:name w:val="Char Char Char Char Char Char2"/>
    <w:basedOn w:val="a"/>
    <w:rsid w:val="001C0E8F"/>
    <w:pPr>
      <w:widowControl/>
      <w:spacing w:after="160" w:line="240" w:lineRule="exact"/>
      <w:ind w:leftChars="27" w:left="27" w:rightChars="200" w:right="200" w:firstLineChars="200" w:firstLine="200"/>
      <w:jc w:val="left"/>
    </w:pPr>
    <w:rPr>
      <w:rFonts w:ascii="Arial" w:hAnsi="Arial" w:cs="Arial"/>
      <w:b/>
      <w:bCs/>
      <w:kern w:val="0"/>
      <w:sz w:val="24"/>
      <w:szCs w:val="22"/>
      <w:lang w:eastAsia="en-US"/>
    </w:rPr>
  </w:style>
  <w:style w:type="character" w:customStyle="1" w:styleId="st">
    <w:name w:val="st"/>
    <w:rsid w:val="001C0E8F"/>
  </w:style>
  <w:style w:type="table" w:styleId="14">
    <w:name w:val="Table Simple 1"/>
    <w:basedOn w:val="a1"/>
    <w:rsid w:val="001C0E8F"/>
    <w:pPr>
      <w:widowControl w:val="0"/>
      <w:jc w:val="both"/>
    </w:p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character" w:customStyle="1" w:styleId="CharChar2">
    <w:name w:val="Char Char2"/>
    <w:aliases w:val="Char Char Char Char Char Char11,普通文字 Char Char"/>
    <w:rsid w:val="001C0E8F"/>
    <w:rPr>
      <w:rFonts w:ascii="Courier New" w:eastAsia="宋体" w:hAnsi="Courier New"/>
      <w:kern w:val="2"/>
      <w:sz w:val="21"/>
      <w:lang w:val="en-US" w:eastAsia="zh-CN"/>
    </w:rPr>
  </w:style>
  <w:style w:type="character" w:customStyle="1" w:styleId="f14px1">
    <w:name w:val="f14px1"/>
    <w:rsid w:val="001C0E8F"/>
    <w:rPr>
      <w:color w:val="000000"/>
      <w:sz w:val="14"/>
    </w:rPr>
  </w:style>
  <w:style w:type="character" w:customStyle="1" w:styleId="xmsp">
    <w:name w:val="xmsp"/>
    <w:rsid w:val="001C0E8F"/>
  </w:style>
  <w:style w:type="paragraph" w:customStyle="1" w:styleId="affa">
    <w:name w:val="表"/>
    <w:next w:val="a"/>
    <w:link w:val="Charf3"/>
    <w:autoRedefine/>
    <w:rsid w:val="001C0E8F"/>
    <w:pPr>
      <w:pBdr>
        <w:between w:val="dashSmallGap" w:sz="4" w:space="1" w:color="666699"/>
      </w:pBdr>
      <w:adjustRightInd w:val="0"/>
      <w:snapToGrid w:val="0"/>
      <w:jc w:val="center"/>
      <w:textAlignment w:val="center"/>
    </w:pPr>
    <w:rPr>
      <w:rFonts w:ascii="仿宋_GB2312" w:eastAsia="仿宋_GB2312" w:hAnsi="华文细黑"/>
      <w:sz w:val="22"/>
    </w:rPr>
  </w:style>
  <w:style w:type="character" w:customStyle="1" w:styleId="Charf3">
    <w:name w:val="表 Char"/>
    <w:link w:val="affa"/>
    <w:locked/>
    <w:rsid w:val="001C0E8F"/>
    <w:rPr>
      <w:rFonts w:ascii="仿宋_GB2312" w:eastAsia="仿宋_GB2312" w:hAnsi="华文细黑"/>
      <w:sz w:val="22"/>
      <w:lang w:bidi="ar-SA"/>
    </w:rPr>
  </w:style>
  <w:style w:type="character" w:styleId="affb">
    <w:name w:val="Strong"/>
    <w:qFormat/>
    <w:locked/>
    <w:rsid w:val="001C0E8F"/>
    <w:rPr>
      <w:rFonts w:cs="Times New Roman"/>
      <w:b/>
    </w:rPr>
  </w:style>
  <w:style w:type="paragraph" w:customStyle="1" w:styleId="CharCharCharChar">
    <w:name w:val="Char Char Char Char"/>
    <w:basedOn w:val="a"/>
    <w:rsid w:val="001C0E8F"/>
    <w:rPr>
      <w:szCs w:val="20"/>
    </w:rPr>
  </w:style>
  <w:style w:type="paragraph" w:customStyle="1" w:styleId="statement">
    <w:name w:val="statement"/>
    <w:basedOn w:val="a"/>
    <w:link w:val="statementChar"/>
    <w:qFormat/>
    <w:rsid w:val="001C0E8F"/>
    <w:pPr>
      <w:spacing w:beforeLines="50" w:afterLines="50"/>
      <w:ind w:leftChars="202" w:left="424" w:rightChars="201" w:right="422"/>
    </w:pPr>
    <w:rPr>
      <w:rFonts w:eastAsia="黑体"/>
      <w:b/>
      <w:kern w:val="0"/>
      <w:sz w:val="20"/>
      <w:szCs w:val="20"/>
      <w:lang w:val="x-none" w:eastAsia="x-none"/>
    </w:rPr>
  </w:style>
  <w:style w:type="character" w:customStyle="1" w:styleId="statementChar">
    <w:name w:val="statement Char"/>
    <w:link w:val="statement"/>
    <w:locked/>
    <w:rsid w:val="001C0E8F"/>
    <w:rPr>
      <w:rFonts w:eastAsia="黑体"/>
      <w:b/>
      <w:lang w:val="x-none" w:eastAsia="x-none"/>
    </w:rPr>
  </w:style>
  <w:style w:type="paragraph" w:customStyle="1" w:styleId="body">
    <w:name w:val="body"/>
    <w:basedOn w:val="a"/>
    <w:link w:val="bodyChar"/>
    <w:qFormat/>
    <w:rsid w:val="001C0E8F"/>
    <w:pPr>
      <w:spacing w:line="300" w:lineRule="auto"/>
      <w:ind w:leftChars="202" w:left="424" w:rightChars="201" w:right="422" w:firstLineChars="200" w:firstLine="420"/>
    </w:pPr>
    <w:rPr>
      <w:color w:val="000000"/>
      <w:kern w:val="0"/>
      <w:sz w:val="20"/>
      <w:szCs w:val="20"/>
      <w:lang w:val="x-none" w:eastAsia="x-none"/>
    </w:rPr>
  </w:style>
  <w:style w:type="character" w:customStyle="1" w:styleId="bodyChar">
    <w:name w:val="body Char"/>
    <w:link w:val="body"/>
    <w:locked/>
    <w:rsid w:val="001C0E8F"/>
    <w:rPr>
      <w:color w:val="000000"/>
      <w:lang w:val="x-none" w:eastAsia="x-none"/>
    </w:rPr>
  </w:style>
  <w:style w:type="paragraph" w:styleId="20">
    <w:name w:val="Body Text 2"/>
    <w:basedOn w:val="a"/>
    <w:link w:val="2Char1"/>
    <w:rsid w:val="001C0E8F"/>
    <w:pPr>
      <w:spacing w:after="120" w:line="480" w:lineRule="auto"/>
    </w:pPr>
    <w:rPr>
      <w:kern w:val="0"/>
      <w:sz w:val="20"/>
      <w:szCs w:val="20"/>
      <w:lang w:val="x-none" w:eastAsia="x-none"/>
    </w:rPr>
  </w:style>
  <w:style w:type="character" w:customStyle="1" w:styleId="2Char1">
    <w:name w:val="正文文本 2 Char"/>
    <w:link w:val="20"/>
    <w:rsid w:val="001C0E8F"/>
    <w:rPr>
      <w:lang w:val="x-none" w:eastAsia="x-none"/>
    </w:rPr>
  </w:style>
  <w:style w:type="character" w:customStyle="1" w:styleId="CharChar19">
    <w:name w:val="Char Char19"/>
    <w:rsid w:val="001C0E8F"/>
    <w:rPr>
      <w:rFonts w:ascii="Calibri" w:eastAsia="宋体" w:hAnsi="Calibri"/>
      <w:sz w:val="18"/>
    </w:rPr>
  </w:style>
  <w:style w:type="character" w:customStyle="1" w:styleId="CharChar18">
    <w:name w:val="Char Char18"/>
    <w:rsid w:val="001C0E8F"/>
    <w:rPr>
      <w:rFonts w:ascii="Calibri" w:eastAsia="宋体" w:hAnsi="Calibri"/>
      <w:sz w:val="18"/>
    </w:rPr>
  </w:style>
  <w:style w:type="character" w:customStyle="1" w:styleId="CharChar17">
    <w:name w:val="Char Char17"/>
    <w:rsid w:val="001C0E8F"/>
    <w:rPr>
      <w:rFonts w:ascii="Calibri" w:eastAsia="宋体" w:hAnsi="Calibri"/>
      <w:kern w:val="2"/>
      <w:sz w:val="22"/>
      <w:lang w:val="en-US" w:eastAsia="zh-CN"/>
    </w:rPr>
  </w:style>
  <w:style w:type="character" w:customStyle="1" w:styleId="CharChar16">
    <w:name w:val="Char Char16"/>
    <w:rsid w:val="001C0E8F"/>
    <w:rPr>
      <w:rFonts w:eastAsia="宋体"/>
      <w:kern w:val="2"/>
      <w:sz w:val="18"/>
      <w:lang w:val="en-US" w:eastAsia="zh-CN"/>
    </w:rPr>
  </w:style>
  <w:style w:type="character" w:customStyle="1" w:styleId="CharChar15">
    <w:name w:val="Char Char15"/>
    <w:rsid w:val="001C0E8F"/>
    <w:rPr>
      <w:rFonts w:ascii="Calibri" w:eastAsia="宋体" w:hAnsi="Calibri"/>
      <w:kern w:val="2"/>
      <w:sz w:val="22"/>
      <w:lang w:val="en-US" w:eastAsia="zh-CN"/>
    </w:rPr>
  </w:style>
  <w:style w:type="paragraph" w:customStyle="1" w:styleId="15">
    <w:name w:val="报告标题1"/>
    <w:basedOn w:val="1"/>
    <w:next w:val="aff0"/>
    <w:rsid w:val="001C0E8F"/>
    <w:pPr>
      <w:keepNext/>
      <w:keepLines/>
      <w:widowControl w:val="0"/>
      <w:spacing w:before="20" w:beforeAutospacing="0" w:after="10" w:afterAutospacing="0"/>
      <w:ind w:left="2160" w:right="-34"/>
      <w:jc w:val="both"/>
    </w:pPr>
    <w:rPr>
      <w:rFonts w:ascii="Times New Roman" w:eastAsia="黑体" w:hAnsi="Times New Roman" w:cs="Times New Roman"/>
      <w:bCs w:val="0"/>
      <w:color w:val="000000"/>
      <w:kern w:val="40"/>
      <w:sz w:val="32"/>
      <w:szCs w:val="32"/>
      <w:lang w:val="x-none" w:eastAsia="x-none"/>
    </w:rPr>
  </w:style>
  <w:style w:type="paragraph" w:customStyle="1" w:styleId="21">
    <w:name w:val="报告标题 2"/>
    <w:basedOn w:val="2"/>
    <w:next w:val="aff0"/>
    <w:link w:val="2Char2"/>
    <w:rsid w:val="001C0E8F"/>
    <w:pPr>
      <w:keepLines w:val="0"/>
      <w:spacing w:beforeLines="50" w:after="10" w:line="240" w:lineRule="auto"/>
      <w:ind w:left="2160" w:right="-34" w:firstLineChars="200" w:firstLine="442"/>
    </w:pPr>
    <w:rPr>
      <w:rFonts w:ascii="宋体" w:hAnsi="宋体"/>
      <w:bCs w:val="0"/>
      <w:color w:val="000000"/>
      <w:kern w:val="0"/>
      <w:sz w:val="20"/>
      <w:szCs w:val="20"/>
    </w:rPr>
  </w:style>
  <w:style w:type="character" w:customStyle="1" w:styleId="2Char2">
    <w:name w:val="报告标题 2 Char"/>
    <w:link w:val="21"/>
    <w:locked/>
    <w:rsid w:val="001C0E8F"/>
    <w:rPr>
      <w:rFonts w:ascii="宋体" w:hAnsi="宋体"/>
      <w:b/>
      <w:color w:val="000000"/>
      <w:lang w:val="x-none" w:eastAsia="x-none"/>
    </w:rPr>
  </w:style>
  <w:style w:type="paragraph" w:customStyle="1" w:styleId="xl25">
    <w:name w:val="xl25"/>
    <w:basedOn w:val="a"/>
    <w:rsid w:val="001C0E8F"/>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kern w:val="0"/>
      <w:sz w:val="20"/>
      <w:szCs w:val="20"/>
    </w:rPr>
  </w:style>
  <w:style w:type="paragraph" w:customStyle="1" w:styleId="xl39">
    <w:name w:val="xl39"/>
    <w:basedOn w:val="a"/>
    <w:rsid w:val="001C0E8F"/>
    <w:pPr>
      <w:widowControl/>
      <w:pBdr>
        <w:bottom w:val="single" w:sz="4" w:space="0" w:color="auto"/>
        <w:right w:val="single" w:sz="4" w:space="0" w:color="auto"/>
      </w:pBdr>
      <w:spacing w:before="100" w:beforeAutospacing="1" w:after="100" w:afterAutospacing="1"/>
      <w:jc w:val="right"/>
    </w:pPr>
    <w:rPr>
      <w:kern w:val="0"/>
      <w:szCs w:val="21"/>
    </w:rPr>
  </w:style>
  <w:style w:type="paragraph" w:styleId="z-">
    <w:name w:val="HTML Bottom of Form"/>
    <w:basedOn w:val="a"/>
    <w:next w:val="a"/>
    <w:link w:val="z-Char"/>
    <w:hidden/>
    <w:rsid w:val="001C0E8F"/>
    <w:pPr>
      <w:widowControl/>
      <w:pBdr>
        <w:top w:val="single" w:sz="6" w:space="1" w:color="auto"/>
      </w:pBdr>
      <w:jc w:val="center"/>
    </w:pPr>
    <w:rPr>
      <w:rFonts w:ascii="Arial" w:hAnsi="Arial"/>
      <w:vanish/>
      <w:kern w:val="0"/>
      <w:sz w:val="20"/>
      <w:szCs w:val="20"/>
      <w:lang w:val="x-none" w:eastAsia="x-none"/>
    </w:rPr>
  </w:style>
  <w:style w:type="character" w:customStyle="1" w:styleId="z-Char">
    <w:name w:val="z-窗体底端 Char"/>
    <w:link w:val="z-"/>
    <w:rsid w:val="001C0E8F"/>
    <w:rPr>
      <w:rFonts w:ascii="Arial" w:hAnsi="Arial"/>
      <w:vanish/>
      <w:lang w:val="x-none" w:eastAsia="x-none"/>
    </w:rPr>
  </w:style>
  <w:style w:type="character" w:styleId="affc">
    <w:name w:val="FollowedHyperlink"/>
    <w:rsid w:val="001C0E8F"/>
    <w:rPr>
      <w:rFonts w:cs="Times New Roman"/>
      <w:color w:val="800080"/>
      <w:u w:val="single"/>
    </w:rPr>
  </w:style>
  <w:style w:type="paragraph" w:styleId="22">
    <w:name w:val="Body Text Indent 2"/>
    <w:basedOn w:val="a"/>
    <w:link w:val="2Char3"/>
    <w:rsid w:val="001C0E8F"/>
    <w:pPr>
      <w:spacing w:line="320" w:lineRule="exact"/>
      <w:ind w:left="210" w:hangingChars="100" w:hanging="210"/>
    </w:pPr>
    <w:rPr>
      <w:rFonts w:ascii="宋体" w:hAnsi="宋体"/>
      <w:kern w:val="0"/>
      <w:sz w:val="20"/>
      <w:szCs w:val="20"/>
      <w:lang w:val="x-none" w:eastAsia="x-none"/>
    </w:rPr>
  </w:style>
  <w:style w:type="character" w:customStyle="1" w:styleId="2Char3">
    <w:name w:val="正文文本缩进 2 Char"/>
    <w:link w:val="22"/>
    <w:rsid w:val="001C0E8F"/>
    <w:rPr>
      <w:rFonts w:ascii="宋体" w:hAnsi="宋体"/>
      <w:lang w:val="x-none" w:eastAsia="x-none"/>
    </w:rPr>
  </w:style>
  <w:style w:type="paragraph" w:customStyle="1" w:styleId="23">
    <w:name w:val="债券标题2"/>
    <w:basedOn w:val="2"/>
    <w:next w:val="aff0"/>
    <w:rsid w:val="001C0E8F"/>
    <w:pPr>
      <w:spacing w:before="0" w:after="0" w:line="360" w:lineRule="auto"/>
    </w:pPr>
    <w:rPr>
      <w:rFonts w:ascii="Times New Roman" w:eastAsia="楷体_GB2312" w:hAnsi="Times New Roman"/>
      <w:bCs w:val="0"/>
      <w:kern w:val="0"/>
      <w:sz w:val="30"/>
      <w:szCs w:val="20"/>
      <w:shd w:val="pct15" w:color="auto" w:fill="FFFFFF"/>
    </w:rPr>
  </w:style>
  <w:style w:type="paragraph" w:customStyle="1" w:styleId="font5">
    <w:name w:val="font5"/>
    <w:basedOn w:val="a"/>
    <w:rsid w:val="001C0E8F"/>
    <w:pPr>
      <w:widowControl/>
      <w:spacing w:before="100" w:beforeAutospacing="1" w:after="100" w:afterAutospacing="1"/>
      <w:jc w:val="left"/>
    </w:pPr>
    <w:rPr>
      <w:rFonts w:eastAsia="Arial Unicode MS"/>
      <w:b/>
      <w:bCs/>
      <w:kern w:val="0"/>
      <w:szCs w:val="21"/>
    </w:rPr>
  </w:style>
  <w:style w:type="paragraph" w:customStyle="1" w:styleId="CM3">
    <w:name w:val="CM3"/>
    <w:basedOn w:val="Default"/>
    <w:next w:val="Default"/>
    <w:rsid w:val="001C0E8F"/>
    <w:pPr>
      <w:spacing w:line="548" w:lineRule="atLeast"/>
    </w:pPr>
    <w:rPr>
      <w:rFonts w:ascii="oúì." w:eastAsia="oúì."/>
      <w:color w:val="auto"/>
    </w:rPr>
  </w:style>
  <w:style w:type="paragraph" w:customStyle="1" w:styleId="CM6">
    <w:name w:val="CM6"/>
    <w:basedOn w:val="Default"/>
    <w:next w:val="Default"/>
    <w:rsid w:val="001C0E8F"/>
    <w:pPr>
      <w:spacing w:line="546" w:lineRule="atLeast"/>
    </w:pPr>
    <w:rPr>
      <w:rFonts w:ascii="oúì." w:eastAsia="oúì."/>
      <w:color w:val="auto"/>
    </w:rPr>
  </w:style>
  <w:style w:type="paragraph" w:customStyle="1" w:styleId="xl38">
    <w:name w:val="xl38"/>
    <w:basedOn w:val="a"/>
    <w:rsid w:val="001C0E8F"/>
    <w:pPr>
      <w:widowControl/>
      <w:pBdr>
        <w:bottom w:val="single" w:sz="4" w:space="0" w:color="auto"/>
        <w:right w:val="single" w:sz="4" w:space="0" w:color="auto"/>
      </w:pBdr>
      <w:spacing w:before="100" w:beforeAutospacing="1" w:after="100" w:afterAutospacing="1"/>
      <w:jc w:val="right"/>
    </w:pPr>
    <w:rPr>
      <w:kern w:val="0"/>
      <w:szCs w:val="21"/>
    </w:rPr>
  </w:style>
  <w:style w:type="character" w:customStyle="1" w:styleId="da">
    <w:name w:val="da"/>
    <w:rsid w:val="001C0E8F"/>
  </w:style>
  <w:style w:type="paragraph" w:customStyle="1" w:styleId="affd">
    <w:name w:val="晖格式"/>
    <w:basedOn w:val="a"/>
    <w:rsid w:val="001C0E8F"/>
    <w:pPr>
      <w:spacing w:line="360" w:lineRule="auto"/>
      <w:ind w:firstLine="420"/>
    </w:pPr>
    <w:rPr>
      <w:rFonts w:cs="宋体"/>
      <w:szCs w:val="20"/>
    </w:rPr>
  </w:style>
  <w:style w:type="paragraph" w:customStyle="1" w:styleId="16">
    <w:name w:val="纯文本1"/>
    <w:basedOn w:val="a"/>
    <w:rsid w:val="001C0E8F"/>
    <w:pPr>
      <w:autoSpaceDE w:val="0"/>
      <w:autoSpaceDN w:val="0"/>
      <w:adjustRightInd w:val="0"/>
      <w:textAlignment w:val="baseline"/>
    </w:pPr>
    <w:rPr>
      <w:kern w:val="0"/>
      <w:szCs w:val="20"/>
    </w:rPr>
  </w:style>
  <w:style w:type="paragraph" w:styleId="affe">
    <w:name w:val="Body Text"/>
    <w:basedOn w:val="a"/>
    <w:link w:val="Charf4"/>
    <w:rsid w:val="001C0E8F"/>
    <w:pPr>
      <w:spacing w:after="120"/>
    </w:pPr>
    <w:rPr>
      <w:kern w:val="0"/>
      <w:sz w:val="20"/>
      <w:szCs w:val="20"/>
      <w:lang w:val="x-none" w:eastAsia="x-none"/>
    </w:rPr>
  </w:style>
  <w:style w:type="character" w:customStyle="1" w:styleId="Charf4">
    <w:name w:val="正文文本 Char"/>
    <w:link w:val="affe"/>
    <w:rsid w:val="001C0E8F"/>
    <w:rPr>
      <w:lang w:val="x-none" w:eastAsia="x-none"/>
    </w:rPr>
  </w:style>
  <w:style w:type="paragraph" w:customStyle="1" w:styleId="q1">
    <w:name w:val="q.表格段落1"/>
    <w:basedOn w:val="a"/>
    <w:rsid w:val="001C0E8F"/>
    <w:pPr>
      <w:framePr w:wrap="notBeside" w:vAnchor="text" w:hAnchor="text" w:y="1"/>
    </w:pPr>
    <w:rPr>
      <w:rFonts w:ascii="幼圆" w:eastAsia="幼圆" w:hAnsi="宋体"/>
      <w:color w:val="000000"/>
      <w:sz w:val="18"/>
    </w:rPr>
  </w:style>
  <w:style w:type="paragraph" w:customStyle="1" w:styleId="afff">
    <w:name w:val="a"/>
    <w:basedOn w:val="a"/>
    <w:rsid w:val="001C0E8F"/>
    <w:pPr>
      <w:widowControl/>
      <w:spacing w:before="100" w:beforeAutospacing="1" w:after="100" w:afterAutospacing="1"/>
      <w:jc w:val="left"/>
    </w:pPr>
    <w:rPr>
      <w:rFonts w:ascii="宋体" w:hAnsi="宋体"/>
      <w:kern w:val="0"/>
      <w:sz w:val="24"/>
    </w:rPr>
  </w:style>
  <w:style w:type="character" w:customStyle="1" w:styleId="txtcontent11">
    <w:name w:val="txtcontent11"/>
    <w:rsid w:val="001C0E8F"/>
    <w:rPr>
      <w:rFonts w:ascii="??" w:hAnsi="??"/>
      <w:color w:val="000000"/>
      <w:sz w:val="21"/>
    </w:rPr>
  </w:style>
  <w:style w:type="paragraph" w:customStyle="1" w:styleId="CharCharCharCharCharCharCharCharCharCharCharCharChar">
    <w:name w:val="Char Char Char Char Char Char Char Char Char Char Char Char Char"/>
    <w:basedOn w:val="a"/>
    <w:rsid w:val="001C0E8F"/>
    <w:pPr>
      <w:snapToGrid w:val="0"/>
      <w:spacing w:line="360" w:lineRule="auto"/>
      <w:ind w:firstLineChars="200" w:firstLine="200"/>
    </w:pPr>
    <w:rPr>
      <w:rFonts w:eastAsia="仿宋_GB2312"/>
      <w:sz w:val="24"/>
    </w:rPr>
  </w:style>
  <w:style w:type="paragraph" w:customStyle="1" w:styleId="17">
    <w:name w:val="正文文本缩进1"/>
    <w:basedOn w:val="a"/>
    <w:rsid w:val="001C0E8F"/>
    <w:pPr>
      <w:spacing w:beforeLines="100" w:line="360" w:lineRule="auto"/>
      <w:ind w:firstLineChars="200" w:firstLine="440"/>
    </w:pPr>
    <w:rPr>
      <w:rFonts w:ascii="宋体" w:hAnsi="宋体"/>
      <w:sz w:val="22"/>
      <w:szCs w:val="22"/>
    </w:rPr>
  </w:style>
  <w:style w:type="paragraph" w:customStyle="1" w:styleId="CharCharChar1CharCharCharChar">
    <w:name w:val="Char Char Char1 Char Char Char Char"/>
    <w:basedOn w:val="a"/>
    <w:rsid w:val="001C0E8F"/>
    <w:pPr>
      <w:snapToGrid w:val="0"/>
      <w:spacing w:line="360" w:lineRule="auto"/>
      <w:ind w:firstLineChars="200" w:firstLine="200"/>
    </w:pPr>
    <w:rPr>
      <w:rFonts w:eastAsia="仿宋_GB2312"/>
      <w:sz w:val="24"/>
    </w:rPr>
  </w:style>
  <w:style w:type="paragraph" w:customStyle="1" w:styleId="CharChar1CharCharCharCharCharCharCharChar">
    <w:name w:val="Char Char1 Char Char Char Char Char Char Char Char"/>
    <w:basedOn w:val="a"/>
    <w:rsid w:val="001C0E8F"/>
    <w:pPr>
      <w:adjustRightInd w:val="0"/>
      <w:spacing w:after="160" w:line="240" w:lineRule="exact"/>
    </w:pPr>
    <w:rPr>
      <w:rFonts w:ascii="Verdana" w:hAnsi="Verdana"/>
      <w:kern w:val="0"/>
      <w:sz w:val="20"/>
      <w:szCs w:val="20"/>
      <w:lang w:eastAsia="en-US"/>
    </w:rPr>
  </w:style>
  <w:style w:type="paragraph" w:styleId="31">
    <w:name w:val="Body Text 3"/>
    <w:basedOn w:val="a"/>
    <w:link w:val="3Char1"/>
    <w:rsid w:val="001C0E8F"/>
    <w:pPr>
      <w:jc w:val="center"/>
    </w:pPr>
    <w:rPr>
      <w:rFonts w:ascii="黑体" w:eastAsia="黑体"/>
      <w:color w:val="000080"/>
      <w:kern w:val="0"/>
      <w:sz w:val="20"/>
      <w:szCs w:val="20"/>
      <w:lang w:val="x-none" w:eastAsia="x-none"/>
    </w:rPr>
  </w:style>
  <w:style w:type="character" w:customStyle="1" w:styleId="3Char1">
    <w:name w:val="正文文本 3 Char"/>
    <w:link w:val="31"/>
    <w:rsid w:val="001C0E8F"/>
    <w:rPr>
      <w:rFonts w:ascii="黑体" w:eastAsia="黑体"/>
      <w:color w:val="000080"/>
      <w:lang w:val="x-none" w:eastAsia="x-none"/>
    </w:rPr>
  </w:style>
  <w:style w:type="paragraph" w:styleId="afff0">
    <w:name w:val="List"/>
    <w:basedOn w:val="a"/>
    <w:rsid w:val="001C0E8F"/>
    <w:pPr>
      <w:spacing w:before="40" w:after="40"/>
      <w:jc w:val="center"/>
    </w:pPr>
    <w:rPr>
      <w:rFonts w:ascii="Century Gothic" w:hAnsi="Century Gothic"/>
      <w:kern w:val="28"/>
      <w:szCs w:val="20"/>
    </w:rPr>
  </w:style>
  <w:style w:type="paragraph" w:customStyle="1" w:styleId="afff1">
    <w:name w:val="简介中文"/>
    <w:basedOn w:val="a"/>
    <w:rsid w:val="001C0E8F"/>
    <w:pPr>
      <w:autoSpaceDE w:val="0"/>
      <w:autoSpaceDN w:val="0"/>
      <w:adjustRightInd w:val="0"/>
      <w:spacing w:before="170" w:afterLines="50"/>
      <w:ind w:firstLine="482"/>
    </w:pPr>
    <w:rPr>
      <w:rFonts w:ascii="汉仪大黑简" w:eastAsia="汉仪大黑简"/>
      <w:color w:val="042040"/>
      <w:kern w:val="0"/>
      <w:sz w:val="28"/>
      <w:szCs w:val="27"/>
    </w:rPr>
  </w:style>
  <w:style w:type="paragraph" w:customStyle="1" w:styleId="afff2">
    <w:name w:val="正文小说明文字"/>
    <w:rsid w:val="001C0E8F"/>
    <w:pPr>
      <w:widowControl w:val="0"/>
      <w:autoSpaceDE w:val="0"/>
      <w:autoSpaceDN w:val="0"/>
      <w:adjustRightInd w:val="0"/>
      <w:spacing w:line="360" w:lineRule="exact"/>
      <w:jc w:val="both"/>
    </w:pPr>
    <w:rPr>
      <w:rFonts w:ascii="汉仪楷体简" w:eastAsia="汉仪楷体简"/>
      <w:color w:val="042040"/>
      <w:sz w:val="21"/>
    </w:rPr>
  </w:style>
  <w:style w:type="paragraph" w:customStyle="1" w:styleId="afff3">
    <w:name w:val="研发资讯左栏部门署名"/>
    <w:basedOn w:val="a"/>
    <w:autoRedefine/>
    <w:rsid w:val="001C0E8F"/>
    <w:pPr>
      <w:spacing w:line="240" w:lineRule="atLeast"/>
      <w:ind w:leftChars="-6" w:left="-13" w:firstLineChars="6" w:firstLine="13"/>
    </w:pPr>
    <w:rPr>
      <w:rFonts w:ascii="黑体" w:eastAsia="黑体" w:hAnsi="宋体"/>
      <w:bCs/>
      <w:color w:val="003366"/>
      <w:szCs w:val="21"/>
    </w:rPr>
  </w:style>
  <w:style w:type="character" w:customStyle="1" w:styleId="articlelink">
    <w:name w:val="articlelink"/>
    <w:rsid w:val="001C0E8F"/>
  </w:style>
  <w:style w:type="character" w:customStyle="1" w:styleId="px14">
    <w:name w:val="px14"/>
    <w:rsid w:val="001C0E8F"/>
  </w:style>
  <w:style w:type="character" w:customStyle="1" w:styleId="ttag">
    <w:name w:val="t_tag"/>
    <w:rsid w:val="001C0E8F"/>
  </w:style>
  <w:style w:type="paragraph" w:customStyle="1" w:styleId="CharCharCharChar1">
    <w:name w:val="Char Char Char Char1"/>
    <w:basedOn w:val="a"/>
    <w:autoRedefine/>
    <w:rsid w:val="001C0E8F"/>
    <w:pPr>
      <w:tabs>
        <w:tab w:val="num" w:pos="840"/>
      </w:tabs>
      <w:adjustRightInd w:val="0"/>
      <w:spacing w:line="360" w:lineRule="atLeast"/>
      <w:ind w:left="840" w:hanging="360"/>
    </w:pPr>
    <w:rPr>
      <w:sz w:val="24"/>
    </w:rPr>
  </w:style>
  <w:style w:type="paragraph" w:customStyle="1" w:styleId="ParaCharCharCharCharCharCharChar">
    <w:name w:val="默认段落字体 Para Char Char Char Char Char Char Char"/>
    <w:basedOn w:val="a"/>
    <w:rsid w:val="001C0E8F"/>
    <w:rPr>
      <w:rFonts w:ascii="Tahoma" w:hAnsi="Tahoma"/>
      <w:sz w:val="24"/>
      <w:szCs w:val="20"/>
    </w:rPr>
  </w:style>
  <w:style w:type="paragraph" w:styleId="afff4">
    <w:name w:val="Body Text First Indent"/>
    <w:basedOn w:val="affe"/>
    <w:link w:val="Charf5"/>
    <w:rsid w:val="001C0E8F"/>
    <w:pPr>
      <w:ind w:firstLineChars="100" w:firstLine="420"/>
    </w:pPr>
  </w:style>
  <w:style w:type="character" w:customStyle="1" w:styleId="Charf5">
    <w:name w:val="正文首行缩进 Char"/>
    <w:link w:val="afff4"/>
    <w:rsid w:val="001C0E8F"/>
    <w:rPr>
      <w:lang w:val="x-none" w:eastAsia="x-none"/>
    </w:rPr>
  </w:style>
  <w:style w:type="paragraph" w:customStyle="1" w:styleId="TableHeadLarge">
    <w:name w:val="_TableHeadLarge"/>
    <w:basedOn w:val="a"/>
    <w:link w:val="TableHeadLargeChar"/>
    <w:rsid w:val="001C0E8F"/>
    <w:pPr>
      <w:keepNext/>
      <w:widowControl/>
      <w:spacing w:before="60" w:after="60"/>
      <w:ind w:right="144"/>
      <w:jc w:val="center"/>
    </w:pPr>
    <w:rPr>
      <w:rFonts w:ascii="Arial" w:eastAsia="SC STKaiti" w:hAnsi="Arial"/>
      <w:b/>
      <w:color w:val="000080"/>
      <w:kern w:val="0"/>
      <w:sz w:val="20"/>
      <w:szCs w:val="20"/>
      <w:lang w:val="x-none" w:eastAsia="x-none"/>
    </w:rPr>
  </w:style>
  <w:style w:type="character" w:customStyle="1" w:styleId="TableHeadLargeChar">
    <w:name w:val="_TableHeadLarge Char"/>
    <w:link w:val="TableHeadLarge"/>
    <w:locked/>
    <w:rsid w:val="001C0E8F"/>
    <w:rPr>
      <w:rFonts w:ascii="Arial" w:eastAsia="SC STKaiti" w:hAnsi="Arial"/>
      <w:b/>
      <w:color w:val="000080"/>
      <w:lang w:val="x-none" w:eastAsia="x-none"/>
    </w:rPr>
  </w:style>
  <w:style w:type="paragraph" w:customStyle="1" w:styleId="9">
    <w:name w:val="9银河_资料来源"/>
    <w:basedOn w:val="a"/>
    <w:rsid w:val="001C0E8F"/>
    <w:pPr>
      <w:spacing w:afterLines="50"/>
    </w:pPr>
    <w:rPr>
      <w:rFonts w:ascii="宋体" w:eastAsia="楷体_GB2312" w:hAnsi="宋体"/>
      <w:i/>
      <w:color w:val="13007C"/>
      <w:sz w:val="16"/>
      <w:szCs w:val="16"/>
    </w:rPr>
  </w:style>
  <w:style w:type="paragraph" w:customStyle="1" w:styleId="5">
    <w:name w:val="5银河_图表标题"/>
    <w:basedOn w:val="a"/>
    <w:link w:val="5Char"/>
    <w:rsid w:val="001C0E8F"/>
    <w:rPr>
      <w:rFonts w:eastAsia="楷体_GB2312"/>
      <w:b/>
      <w:color w:val="13007C"/>
      <w:kern w:val="0"/>
      <w:sz w:val="20"/>
      <w:szCs w:val="20"/>
      <w:lang w:val="x-none" w:eastAsia="x-none"/>
    </w:rPr>
  </w:style>
  <w:style w:type="character" w:customStyle="1" w:styleId="5Char">
    <w:name w:val="5银河_图表标题 Char"/>
    <w:link w:val="5"/>
    <w:locked/>
    <w:rsid w:val="001C0E8F"/>
    <w:rPr>
      <w:rFonts w:eastAsia="楷体_GB2312"/>
      <w:b/>
      <w:color w:val="13007C"/>
      <w:lang w:val="x-none" w:eastAsia="x-none"/>
    </w:rPr>
  </w:style>
  <w:style w:type="character" w:customStyle="1" w:styleId="210">
    <w:name w:val="报告标题 21"/>
    <w:rsid w:val="001C0E8F"/>
  </w:style>
  <w:style w:type="paragraph" w:customStyle="1" w:styleId="CharCharCharCharCharCharCharCharCharCharCharChar">
    <w:name w:val="Char Char Char Char Char Char Char Char Char Char Char Char"/>
    <w:basedOn w:val="a"/>
    <w:rsid w:val="001C0E8F"/>
    <w:pPr>
      <w:widowControl/>
      <w:spacing w:after="160" w:line="240" w:lineRule="exact"/>
    </w:pPr>
    <w:rPr>
      <w:rFonts w:ascii="Verdana" w:hAnsi="Verdana" w:cs="Arial"/>
      <w:kern w:val="0"/>
      <w:sz w:val="22"/>
      <w:szCs w:val="20"/>
      <w:lang w:eastAsia="en-US"/>
    </w:rPr>
  </w:style>
  <w:style w:type="character" w:customStyle="1" w:styleId="CharChar14">
    <w:name w:val="Char Char14"/>
    <w:rsid w:val="001C0E8F"/>
    <w:rPr>
      <w:rFonts w:eastAsia="宋体"/>
      <w:kern w:val="2"/>
      <w:sz w:val="24"/>
      <w:lang w:val="en-US" w:eastAsia="zh-CN"/>
    </w:rPr>
  </w:style>
  <w:style w:type="paragraph" w:customStyle="1" w:styleId="CharCharChar1CharCharCharChar1">
    <w:name w:val="Char Char Char1 Char Char Char Char1"/>
    <w:basedOn w:val="a"/>
    <w:rsid w:val="001C0E8F"/>
    <w:pPr>
      <w:snapToGrid w:val="0"/>
      <w:spacing w:line="360" w:lineRule="auto"/>
      <w:ind w:firstLineChars="200" w:firstLine="200"/>
    </w:pPr>
    <w:rPr>
      <w:rFonts w:eastAsia="仿宋_GB2312"/>
      <w:sz w:val="24"/>
    </w:rPr>
  </w:style>
  <w:style w:type="character" w:customStyle="1" w:styleId="18">
    <w:name w:val="占位符文本1"/>
    <w:semiHidden/>
    <w:rsid w:val="001C0E8F"/>
    <w:rPr>
      <w:rFonts w:cs="Times New Roman"/>
      <w:color w:val="808080"/>
    </w:rPr>
  </w:style>
  <w:style w:type="paragraph" w:customStyle="1" w:styleId="CharCharCharChar1CharCharCharCharCharChar1">
    <w:name w:val="Char Char Char Char1 Char Char Char Char Char Char1"/>
    <w:basedOn w:val="a"/>
    <w:rsid w:val="001C0E8F"/>
    <w:rPr>
      <w:rFonts w:ascii="Tahoma" w:hAnsi="Tahoma"/>
      <w:sz w:val="24"/>
      <w:szCs w:val="20"/>
    </w:rPr>
  </w:style>
  <w:style w:type="paragraph" w:customStyle="1" w:styleId="CharCharCharChar1CharCharCharCharCharChar11">
    <w:name w:val="Char Char Char Char1 Char Char Char Char Char Char11"/>
    <w:basedOn w:val="a"/>
    <w:rsid w:val="001C0E8F"/>
    <w:rPr>
      <w:rFonts w:ascii="Tahoma" w:hAnsi="Tahoma"/>
      <w:sz w:val="24"/>
      <w:szCs w:val="20"/>
    </w:rPr>
  </w:style>
  <w:style w:type="paragraph" w:customStyle="1" w:styleId="19">
    <w:name w:val="修订1"/>
    <w:hidden/>
    <w:semiHidden/>
    <w:rsid w:val="001C0E8F"/>
    <w:rPr>
      <w:kern w:val="2"/>
      <w:sz w:val="21"/>
      <w:szCs w:val="24"/>
    </w:rPr>
  </w:style>
  <w:style w:type="paragraph" w:customStyle="1" w:styleId="1a">
    <w:name w:val="列出段落1"/>
    <w:basedOn w:val="a"/>
    <w:rsid w:val="001C0E8F"/>
    <w:pPr>
      <w:ind w:firstLineChars="200" w:firstLine="420"/>
    </w:pPr>
    <w:rPr>
      <w:rFonts w:ascii="Calibri" w:hAnsi="Calibri"/>
      <w:szCs w:val="22"/>
    </w:rPr>
  </w:style>
  <w:style w:type="table" w:customStyle="1" w:styleId="-51">
    <w:name w:val="浅色底纹 - 强调文字颜色 51"/>
    <w:rsid w:val="001C0E8F"/>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paragraph" w:customStyle="1" w:styleId="1b">
    <w:name w:val="修订1"/>
    <w:hidden/>
    <w:semiHidden/>
    <w:rsid w:val="001C0E8F"/>
    <w:rPr>
      <w:kern w:val="2"/>
      <w:sz w:val="21"/>
      <w:szCs w:val="24"/>
    </w:rPr>
  </w:style>
  <w:style w:type="character" w:customStyle="1" w:styleId="CharChar">
    <w:name w:val="报告观点 Char Char"/>
    <w:rsid w:val="001C0E8F"/>
    <w:rPr>
      <w:rFonts w:eastAsia="黑体"/>
      <w:b/>
      <w:kern w:val="2"/>
      <w:sz w:val="21"/>
    </w:rPr>
  </w:style>
  <w:style w:type="paragraph" w:styleId="afff5">
    <w:name w:val="Revision"/>
    <w:hidden/>
    <w:uiPriority w:val="99"/>
    <w:semiHidden/>
    <w:rsid w:val="001C0E8F"/>
    <w:rPr>
      <w:kern w:val="2"/>
      <w:sz w:val="21"/>
      <w:szCs w:val="24"/>
    </w:rPr>
  </w:style>
  <w:style w:type="character" w:customStyle="1" w:styleId="apple-converted-space">
    <w:name w:val="apple-converted-space"/>
    <w:rsid w:val="001C0E8F"/>
  </w:style>
  <w:style w:type="paragraph" w:customStyle="1" w:styleId="CharCharChar1Char">
    <w:name w:val="Char Char Char1 Char"/>
    <w:basedOn w:val="a"/>
    <w:rsid w:val="004C5D8D"/>
    <w:rPr>
      <w:sz w:val="32"/>
      <w:szCs w:val="32"/>
    </w:rPr>
  </w:style>
  <w:style w:type="character" w:customStyle="1" w:styleId="CharChar6">
    <w:name w:val="Char Char6"/>
    <w:locked/>
    <w:rsid w:val="004C5D8D"/>
    <w:rPr>
      <w:sz w:val="18"/>
    </w:rPr>
  </w:style>
  <w:style w:type="character" w:customStyle="1" w:styleId="CharChar5">
    <w:name w:val="Char Char5"/>
    <w:locked/>
    <w:rsid w:val="004C5D8D"/>
    <w:rPr>
      <w:sz w:val="18"/>
    </w:rPr>
  </w:style>
  <w:style w:type="character" w:customStyle="1" w:styleId="CharChar9">
    <w:name w:val="Char Char9"/>
    <w:rsid w:val="004C5D8D"/>
    <w:rPr>
      <w:rFonts w:ascii="宋体" w:eastAsia="宋体" w:hAnsi="宋体" w:cs="宋体"/>
      <w:b/>
      <w:bCs/>
      <w:kern w:val="36"/>
      <w:sz w:val="48"/>
      <w:szCs w:val="48"/>
      <w:lang w:val="en-US" w:eastAsia="zh-CN" w:bidi="ar-SA"/>
    </w:rPr>
  </w:style>
  <w:style w:type="paragraph" w:customStyle="1" w:styleId="CharChar4CharCharCharCharCharCharCharChar">
    <w:name w:val="Char Char4 Char Char Char Char Char Char Char Char"/>
    <w:basedOn w:val="a"/>
    <w:rsid w:val="004C5D8D"/>
    <w:rPr>
      <w:sz w:val="32"/>
      <w:szCs w:val="32"/>
    </w:rPr>
  </w:style>
  <w:style w:type="paragraph" w:customStyle="1" w:styleId="CharChar15CharChar">
    <w:name w:val="Char Char15 Char Char"/>
    <w:basedOn w:val="a"/>
    <w:rsid w:val="004C5D8D"/>
    <w:rPr>
      <w:sz w:val="32"/>
      <w:szCs w:val="32"/>
    </w:rPr>
  </w:style>
  <w:style w:type="paragraph" w:customStyle="1" w:styleId="CharChar4CharCharCharCharCharChar">
    <w:name w:val="Char Char4 Char Char Char Char Char Char"/>
    <w:basedOn w:val="a"/>
    <w:rsid w:val="004C5D8D"/>
    <w:rPr>
      <w:sz w:val="32"/>
      <w:szCs w:val="32"/>
    </w:rPr>
  </w:style>
  <w:style w:type="character" w:customStyle="1" w:styleId="CharChar12">
    <w:name w:val="Char Char12"/>
    <w:locked/>
    <w:rsid w:val="004C5D8D"/>
    <w:rPr>
      <w:rFonts w:ascii="宋体" w:eastAsia="宋体" w:cs="宋体"/>
      <w:b/>
      <w:bCs/>
      <w:kern w:val="36"/>
      <w:sz w:val="48"/>
      <w:szCs w:val="48"/>
    </w:rPr>
  </w:style>
  <w:style w:type="character" w:customStyle="1" w:styleId="a141">
    <w:name w:val="a141"/>
    <w:rsid w:val="004C5D8D"/>
    <w:rPr>
      <w:rFonts w:ascii="ˎ̥" w:hAnsi="ˎ̥" w:hint="default"/>
      <w:strike w:val="0"/>
      <w:dstrike w:val="0"/>
      <w:color w:val="666666"/>
      <w:sz w:val="19"/>
      <w:szCs w:val="19"/>
      <w:u w:val="none"/>
      <w:effect w:val="none"/>
      <w:bdr w:val="none" w:sz="0" w:space="0" w:color="auto" w:frame="1"/>
    </w:rPr>
  </w:style>
  <w:style w:type="paragraph" w:customStyle="1" w:styleId="tableleft">
    <w:name w:val="table_left"/>
    <w:basedOn w:val="a"/>
    <w:link w:val="tableleftChar"/>
    <w:qFormat/>
    <w:rsid w:val="004C5D8D"/>
    <w:pPr>
      <w:framePr w:hSpace="180" w:wrap="around" w:vAnchor="text" w:hAnchor="margin" w:xAlign="center" w:y="158"/>
      <w:widowControl/>
    </w:pPr>
    <w:rPr>
      <w:color w:val="000000"/>
      <w:kern w:val="0"/>
      <w:sz w:val="18"/>
      <w:szCs w:val="18"/>
      <w:lang w:val="x-none" w:eastAsia="x-none"/>
    </w:rPr>
  </w:style>
  <w:style w:type="character" w:customStyle="1" w:styleId="tableleftChar">
    <w:name w:val="table_left Char"/>
    <w:link w:val="tableleft"/>
    <w:rsid w:val="004C5D8D"/>
    <w:rPr>
      <w:color w:val="000000"/>
      <w:sz w:val="18"/>
      <w:szCs w:val="18"/>
      <w:lang w:val="x-none" w:eastAsia="x-none"/>
    </w:rPr>
  </w:style>
  <w:style w:type="paragraph" w:customStyle="1" w:styleId="resource">
    <w:name w:val="resource"/>
    <w:basedOn w:val="a"/>
    <w:link w:val="resourceChar"/>
    <w:qFormat/>
    <w:rsid w:val="004C5D8D"/>
    <w:pPr>
      <w:spacing w:afterLines="50" w:line="300" w:lineRule="auto"/>
      <w:ind w:rightChars="201" w:right="422"/>
    </w:pPr>
    <w:rPr>
      <w:rFonts w:eastAsia="黑体"/>
      <w:color w:val="000000"/>
      <w:sz w:val="15"/>
      <w:szCs w:val="15"/>
      <w:lang w:val="x-none" w:eastAsia="x-none"/>
    </w:rPr>
  </w:style>
  <w:style w:type="character" w:customStyle="1" w:styleId="resourceChar">
    <w:name w:val="resource Char"/>
    <w:link w:val="resource"/>
    <w:rsid w:val="004C5D8D"/>
    <w:rPr>
      <w:rFonts w:eastAsia="黑体"/>
      <w:color w:val="000000"/>
      <w:kern w:val="2"/>
      <w:sz w:val="15"/>
      <w:szCs w:val="15"/>
      <w:lang w:val="x-none" w:eastAsia="x-none"/>
    </w:rPr>
  </w:style>
  <w:style w:type="paragraph" w:customStyle="1" w:styleId="pic">
    <w:name w:val="pic"/>
    <w:basedOn w:val="a"/>
    <w:link w:val="picChar"/>
    <w:qFormat/>
    <w:rsid w:val="004C5D8D"/>
    <w:pPr>
      <w:spacing w:beforeLines="50" w:line="300" w:lineRule="auto"/>
      <w:ind w:leftChars="201" w:left="426" w:rightChars="201" w:right="422" w:hangingChars="2" w:hanging="4"/>
      <w:jc w:val="center"/>
    </w:pPr>
    <w:rPr>
      <w:rFonts w:eastAsia="黑体"/>
      <w:b/>
      <w:color w:val="000000"/>
      <w:sz w:val="20"/>
      <w:szCs w:val="20"/>
      <w:lang w:val="x-none" w:eastAsia="x-none"/>
    </w:rPr>
  </w:style>
  <w:style w:type="character" w:customStyle="1" w:styleId="picChar">
    <w:name w:val="pic Char"/>
    <w:link w:val="pic"/>
    <w:rsid w:val="004C5D8D"/>
    <w:rPr>
      <w:rFonts w:eastAsia="黑体"/>
      <w:b/>
      <w:color w:val="000000"/>
      <w:kern w:val="2"/>
      <w:lang w:val="x-none" w:eastAsia="x-none"/>
    </w:rPr>
  </w:style>
  <w:style w:type="paragraph" w:customStyle="1" w:styleId="tableright">
    <w:name w:val="table_right"/>
    <w:basedOn w:val="a"/>
    <w:link w:val="tablerightChar"/>
    <w:qFormat/>
    <w:rsid w:val="004C5D8D"/>
    <w:pPr>
      <w:widowControl/>
      <w:jc w:val="right"/>
    </w:pPr>
    <w:rPr>
      <w:color w:val="000000"/>
      <w:kern w:val="0"/>
      <w:sz w:val="18"/>
      <w:szCs w:val="18"/>
      <w:lang w:val="x-none" w:eastAsia="x-none"/>
    </w:rPr>
  </w:style>
  <w:style w:type="character" w:customStyle="1" w:styleId="tablerightChar">
    <w:name w:val="table_right Char"/>
    <w:link w:val="tableright"/>
    <w:rsid w:val="004C5D8D"/>
    <w:rPr>
      <w:color w:val="000000"/>
      <w:sz w:val="18"/>
      <w:szCs w:val="18"/>
      <w:lang w:val="x-none" w:eastAsia="x-none"/>
    </w:rPr>
  </w:style>
  <w:style w:type="paragraph" w:customStyle="1" w:styleId="title1">
    <w:name w:val="title1"/>
    <w:basedOn w:val="a"/>
    <w:link w:val="title1Char"/>
    <w:qFormat/>
    <w:rsid w:val="004C5D8D"/>
    <w:pPr>
      <w:tabs>
        <w:tab w:val="num" w:pos="2205"/>
      </w:tabs>
      <w:adjustRightInd w:val="0"/>
      <w:snapToGrid w:val="0"/>
      <w:spacing w:beforeLines="100" w:afterLines="50"/>
      <w:ind w:left="2205" w:rightChars="201" w:right="422" w:hanging="420"/>
    </w:pPr>
    <w:rPr>
      <w:rFonts w:eastAsia="黑体"/>
      <w:b/>
      <w:color w:val="000000"/>
      <w:sz w:val="24"/>
      <w:lang w:val="x-none" w:eastAsia="x-none"/>
    </w:rPr>
  </w:style>
  <w:style w:type="character" w:customStyle="1" w:styleId="title1Char">
    <w:name w:val="title1 Char"/>
    <w:link w:val="title1"/>
    <w:rsid w:val="004C5D8D"/>
    <w:rPr>
      <w:rFonts w:eastAsia="黑体"/>
      <w:b/>
      <w:color w:val="000000"/>
      <w:kern w:val="2"/>
      <w:sz w:val="24"/>
      <w:szCs w:val="24"/>
      <w:lang w:val="x-none" w:eastAsia="x-none"/>
    </w:rPr>
  </w:style>
  <w:style w:type="paragraph" w:customStyle="1" w:styleId="APP1">
    <w:name w:val="APP1`"/>
    <w:basedOn w:val="a"/>
    <w:link w:val="APP1Char"/>
    <w:qFormat/>
    <w:rsid w:val="004C5D8D"/>
    <w:pPr>
      <w:keepNext/>
      <w:pageBreakBefore/>
      <w:tabs>
        <w:tab w:val="left" w:pos="720"/>
      </w:tabs>
      <w:adjustRightInd w:val="0"/>
      <w:snapToGrid w:val="0"/>
      <w:spacing w:line="300" w:lineRule="auto"/>
      <w:outlineLvl w:val="0"/>
    </w:pPr>
    <w:rPr>
      <w:rFonts w:eastAsia="黑体"/>
      <w:b/>
      <w:color w:val="000000"/>
      <w:sz w:val="24"/>
      <w:lang w:val="x-none" w:eastAsia="x-none"/>
    </w:rPr>
  </w:style>
  <w:style w:type="character" w:customStyle="1" w:styleId="APP1Char">
    <w:name w:val="APP1` Char"/>
    <w:link w:val="APP1"/>
    <w:rsid w:val="004C5D8D"/>
    <w:rPr>
      <w:rFonts w:eastAsia="黑体"/>
      <w:b/>
      <w:color w:val="000000"/>
      <w:kern w:val="2"/>
      <w:sz w:val="24"/>
      <w:szCs w:val="24"/>
      <w:lang w:val="x-none" w:eastAsia="x-none"/>
    </w:rPr>
  </w:style>
  <w:style w:type="paragraph" w:customStyle="1" w:styleId="tabletitle">
    <w:name w:val="table title"/>
    <w:basedOn w:val="a"/>
    <w:link w:val="tabletitleChar"/>
    <w:qFormat/>
    <w:rsid w:val="004C5D8D"/>
    <w:pPr>
      <w:spacing w:beforeLines="50" w:line="300" w:lineRule="auto"/>
      <w:ind w:leftChars="201" w:left="426" w:rightChars="201" w:right="422" w:hangingChars="2" w:hanging="4"/>
      <w:jc w:val="center"/>
    </w:pPr>
    <w:rPr>
      <w:rFonts w:eastAsia="黑体"/>
      <w:b/>
      <w:color w:val="000000"/>
      <w:sz w:val="20"/>
      <w:szCs w:val="20"/>
      <w:lang w:val="x-none" w:eastAsia="x-none"/>
    </w:rPr>
  </w:style>
  <w:style w:type="character" w:customStyle="1" w:styleId="tabletitleChar">
    <w:name w:val="table title Char"/>
    <w:link w:val="tabletitle"/>
    <w:rsid w:val="004C5D8D"/>
    <w:rPr>
      <w:rFonts w:eastAsia="黑体"/>
      <w:b/>
      <w:color w:val="000000"/>
      <w:kern w:val="2"/>
      <w:lang w:val="x-none" w:eastAsia="x-none"/>
    </w:rPr>
  </w:style>
  <w:style w:type="paragraph" w:customStyle="1" w:styleId="APPbody">
    <w:name w:val="APP_body"/>
    <w:basedOn w:val="a"/>
    <w:link w:val="APPbodyChar"/>
    <w:qFormat/>
    <w:rsid w:val="004C5D8D"/>
    <w:pPr>
      <w:adjustRightInd w:val="0"/>
      <w:snapToGrid w:val="0"/>
      <w:spacing w:line="300" w:lineRule="auto"/>
      <w:ind w:firstLineChars="200" w:firstLine="420"/>
      <w:outlineLvl w:val="0"/>
    </w:pPr>
    <w:rPr>
      <w:color w:val="000000"/>
      <w:lang w:val="x-none" w:eastAsia="x-none"/>
    </w:rPr>
  </w:style>
  <w:style w:type="character" w:customStyle="1" w:styleId="APPbodyChar">
    <w:name w:val="APP_body Char"/>
    <w:link w:val="APPbody"/>
    <w:rsid w:val="004C5D8D"/>
    <w:rPr>
      <w:color w:val="000000"/>
      <w:kern w:val="2"/>
      <w:sz w:val="21"/>
      <w:szCs w:val="24"/>
      <w:lang w:val="x-none" w:eastAsia="x-none"/>
    </w:rPr>
  </w:style>
  <w:style w:type="paragraph" w:customStyle="1" w:styleId="table">
    <w:name w:val="table"/>
    <w:basedOn w:val="a"/>
    <w:link w:val="tableChar"/>
    <w:rsid w:val="004C5D8D"/>
    <w:pPr>
      <w:widowControl/>
    </w:pPr>
    <w:rPr>
      <w:color w:val="000000"/>
      <w:kern w:val="0"/>
      <w:sz w:val="18"/>
      <w:szCs w:val="18"/>
      <w:lang w:val="x-none" w:eastAsia="x-none"/>
    </w:rPr>
  </w:style>
  <w:style w:type="character" w:customStyle="1" w:styleId="tableChar">
    <w:name w:val="table Char"/>
    <w:link w:val="table"/>
    <w:rsid w:val="004C5D8D"/>
    <w:rPr>
      <w:color w:val="000000"/>
      <w:sz w:val="18"/>
      <w:szCs w:val="18"/>
      <w:lang w:val="x-none" w:eastAsia="x-none"/>
    </w:rPr>
  </w:style>
  <w:style w:type="paragraph" w:customStyle="1" w:styleId="APP2">
    <w:name w:val="APP2"/>
    <w:basedOn w:val="a"/>
    <w:link w:val="APP2Char"/>
    <w:qFormat/>
    <w:rsid w:val="004C5D8D"/>
    <w:pPr>
      <w:tabs>
        <w:tab w:val="left" w:pos="720"/>
      </w:tabs>
      <w:adjustRightInd w:val="0"/>
      <w:snapToGrid w:val="0"/>
      <w:spacing w:line="300" w:lineRule="auto"/>
      <w:jc w:val="center"/>
      <w:outlineLvl w:val="0"/>
    </w:pPr>
    <w:rPr>
      <w:rFonts w:eastAsia="黑体"/>
      <w:b/>
      <w:color w:val="000000"/>
      <w:sz w:val="24"/>
      <w:lang w:val="x-none" w:eastAsia="x-none"/>
    </w:rPr>
  </w:style>
  <w:style w:type="character" w:customStyle="1" w:styleId="APP2Char">
    <w:name w:val="APP2 Char"/>
    <w:link w:val="APP2"/>
    <w:rsid w:val="004C5D8D"/>
    <w:rPr>
      <w:rFonts w:eastAsia="黑体"/>
      <w:b/>
      <w:color w:val="000000"/>
      <w:kern w:val="2"/>
      <w:sz w:val="24"/>
      <w:szCs w:val="24"/>
      <w:lang w:val="x-none" w:eastAsia="x-none"/>
    </w:rPr>
  </w:style>
  <w:style w:type="paragraph" w:customStyle="1" w:styleId="afff6">
    <w:name w:val="四号 正文"/>
    <w:basedOn w:val="a"/>
    <w:rsid w:val="004C5D8D"/>
    <w:pPr>
      <w:ind w:firstLineChars="200" w:firstLine="584"/>
    </w:pPr>
    <w:rPr>
      <w:rFonts w:cs="宋体"/>
      <w:color w:val="000000"/>
      <w:spacing w:val="6"/>
      <w:sz w:val="28"/>
      <w:szCs w:val="20"/>
    </w:rPr>
  </w:style>
  <w:style w:type="character" w:customStyle="1" w:styleId="font61">
    <w:name w:val="font_61"/>
    <w:rsid w:val="004C5D8D"/>
    <w:rPr>
      <w:color w:val="FF0000"/>
    </w:rPr>
  </w:style>
  <w:style w:type="character" w:customStyle="1" w:styleId="1c">
    <w:name w:val="已访问的超链接1"/>
    <w:rsid w:val="004C5D8D"/>
    <w:rPr>
      <w:color w:val="800080"/>
      <w:u w:val="single"/>
    </w:rPr>
  </w:style>
  <w:style w:type="paragraph" w:customStyle="1" w:styleId="ChartHeading">
    <w:name w:val="Chart Heading"/>
    <w:basedOn w:val="a"/>
    <w:rsid w:val="004C5D8D"/>
    <w:pPr>
      <w:snapToGrid w:val="0"/>
      <w:spacing w:after="40"/>
      <w:jc w:val="left"/>
    </w:pPr>
    <w:rPr>
      <w:rFonts w:eastAsia="华文楷体"/>
      <w:b/>
      <w:bCs/>
      <w:color w:val="000000"/>
      <w:sz w:val="24"/>
      <w:lang w:eastAsia="zh-TW"/>
    </w:rPr>
  </w:style>
  <w:style w:type="paragraph" w:customStyle="1" w:styleId="Source">
    <w:name w:val="Source"/>
    <w:basedOn w:val="a"/>
    <w:rsid w:val="004C5D8D"/>
    <w:pPr>
      <w:adjustRightInd w:val="0"/>
      <w:snapToGrid w:val="0"/>
      <w:spacing w:before="40"/>
      <w:jc w:val="left"/>
    </w:pPr>
    <w:rPr>
      <w:rFonts w:eastAsia="华文楷体"/>
      <w:i/>
      <w:iCs/>
      <w:color w:val="000000"/>
      <w:sz w:val="18"/>
      <w:szCs w:val="18"/>
    </w:rPr>
  </w:style>
  <w:style w:type="paragraph" w:customStyle="1" w:styleId="B1">
    <w:name w:val="B1"/>
    <w:basedOn w:val="a"/>
    <w:link w:val="B1Char"/>
    <w:rsid w:val="004C5D8D"/>
    <w:pPr>
      <w:widowControl/>
      <w:tabs>
        <w:tab w:val="num" w:pos="1077"/>
      </w:tabs>
      <w:ind w:left="1077" w:hanging="360"/>
      <w:jc w:val="left"/>
    </w:pPr>
    <w:rPr>
      <w:rFonts w:ascii="Arial" w:hAnsi="Arial" w:cs="Arial"/>
      <w:color w:val="000000"/>
      <w:kern w:val="0"/>
      <w:sz w:val="18"/>
      <w:szCs w:val="18"/>
      <w:lang w:val="x-none" w:eastAsia="x-none" w:bidi="hi-IN"/>
    </w:rPr>
  </w:style>
  <w:style w:type="character" w:customStyle="1" w:styleId="B1Char">
    <w:name w:val="B1 Char"/>
    <w:link w:val="B1"/>
    <w:rsid w:val="004C5D8D"/>
    <w:rPr>
      <w:rFonts w:ascii="Arial" w:hAnsi="Arial" w:cs="Arial"/>
      <w:color w:val="000000"/>
      <w:sz w:val="18"/>
      <w:szCs w:val="18"/>
      <w:lang w:val="x-none" w:eastAsia="x-none" w:bidi="hi-IN"/>
    </w:rPr>
  </w:style>
  <w:style w:type="paragraph" w:customStyle="1" w:styleId="MTDisplayEquation">
    <w:name w:val="MTDisplayEquation"/>
    <w:basedOn w:val="affe"/>
    <w:next w:val="a"/>
    <w:rsid w:val="004C5D8D"/>
    <w:pPr>
      <w:widowControl/>
      <w:tabs>
        <w:tab w:val="center" w:pos="7440"/>
        <w:tab w:val="right" w:pos="10660"/>
      </w:tabs>
      <w:spacing w:line="276" w:lineRule="auto"/>
      <w:ind w:left="4191" w:hanging="420"/>
    </w:pPr>
    <w:rPr>
      <w:rFonts w:ascii="Arial" w:eastAsia="楷体_GB2312" w:hAnsi="Arial" w:cs="Arial"/>
      <w:color w:val="000000"/>
      <w:sz w:val="21"/>
      <w:lang w:val="en-GB"/>
    </w:rPr>
  </w:style>
  <w:style w:type="paragraph" w:customStyle="1" w:styleId="-">
    <w:name w:val="报告格式-正文"/>
    <w:basedOn w:val="a"/>
    <w:link w:val="-Char"/>
    <w:qFormat/>
    <w:rsid w:val="004C5D8D"/>
    <w:pPr>
      <w:spacing w:line="360" w:lineRule="auto"/>
      <w:ind w:firstLineChars="200" w:firstLine="200"/>
    </w:pPr>
    <w:rPr>
      <w:sz w:val="28"/>
      <w:szCs w:val="36"/>
      <w:lang w:val="x-none" w:eastAsia="x-none"/>
    </w:rPr>
  </w:style>
  <w:style w:type="character" w:customStyle="1" w:styleId="-Char">
    <w:name w:val="报告格式-正文 Char"/>
    <w:link w:val="-"/>
    <w:rsid w:val="004C5D8D"/>
    <w:rPr>
      <w:kern w:val="2"/>
      <w:sz w:val="28"/>
      <w:szCs w:val="36"/>
      <w:lang w:val="x-none" w:eastAsia="x-none"/>
    </w:rPr>
  </w:style>
  <w:style w:type="paragraph" w:styleId="afff7">
    <w:name w:val="endnote text"/>
    <w:basedOn w:val="a"/>
    <w:link w:val="Charf6"/>
    <w:rsid w:val="004C5D8D"/>
    <w:pPr>
      <w:snapToGrid w:val="0"/>
      <w:jc w:val="left"/>
    </w:pPr>
    <w:rPr>
      <w:lang w:val="x-none" w:eastAsia="x-none"/>
    </w:rPr>
  </w:style>
  <w:style w:type="character" w:customStyle="1" w:styleId="Charf6">
    <w:name w:val="尾注文本 Char"/>
    <w:link w:val="afff7"/>
    <w:rsid w:val="004C5D8D"/>
    <w:rPr>
      <w:kern w:val="2"/>
      <w:sz w:val="21"/>
      <w:szCs w:val="24"/>
      <w:lang w:val="x-none" w:eastAsia="x-none"/>
    </w:rPr>
  </w:style>
  <w:style w:type="character" w:styleId="afff8">
    <w:name w:val="endnote reference"/>
    <w:rsid w:val="004C5D8D"/>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semiHidden="0" w:uiPriority="0" w:unhideWhenUsed="0" w:qFormat="1"/>
    <w:lsdException w:name="heading 7" w:locked="1" w:uiPriority="0" w:qFormat="1"/>
    <w:lsdException w:name="heading 8" w:locked="1" w:uiPriority="0" w:qFormat="1"/>
    <w:lsdException w:name="heading 9" w:locked="1" w:uiPriority="0" w:qFormat="1"/>
    <w:lsdException w:name="toc 1" w:locked="1" w:semiHidden="0" w:uiPriority="0"/>
    <w:lsdException w:name="toc 2" w:locked="1" w:semiHidden="0" w:uiPriority="0"/>
    <w:lsdException w:name="toc 3" w:locked="1" w:semiHidden="0" w:uiPriority="0"/>
    <w:lsdException w:name="toc 4" w:locked="1" w:semiHidden="0" w:uiPriority="0"/>
    <w:lsdException w:name="toc 5" w:locked="1" w:semiHidden="0" w:uiPriority="0"/>
    <w:lsdException w:name="toc 6" w:locked="1" w:semiHidden="0" w:uiPriority="0"/>
    <w:lsdException w:name="toc 7" w:locked="1" w:semiHidden="0" w:uiPriority="0"/>
    <w:lsdException w:name="toc 8" w:locked="1" w:semiHidden="0" w:uiPriority="0"/>
    <w:lsdException w:name="toc 9" w:locked="1" w:semiHidden="0" w:uiPriority="0"/>
    <w:lsdException w:name="Normal Indent" w:uiPriority="0"/>
    <w:lsdException w:name="footnote text" w:uiPriority="0"/>
    <w:lsdException w:name="annotation text" w:locked="1" w:semiHidden="0" w:uiPriority="0"/>
    <w:lsdException w:name="header" w:uiPriority="0"/>
    <w:lsdException w:name="footer" w:locked="1" w:semiHidden="0"/>
    <w:lsdException w:name="caption" w:locked="1" w:semiHidden="0" w:uiPriority="0" w:qFormat="1"/>
    <w:lsdException w:name="footnote reference" w:uiPriority="0"/>
    <w:lsdException w:name="annotation reference" w:locked="1" w:semiHidden="0" w:uiPriority="0"/>
    <w:lsdException w:name="page number" w:uiPriority="0"/>
    <w:lsdException w:name="endnote reference" w:uiPriority="0"/>
    <w:lsdException w:name="endnote text" w:uiPriority="0"/>
    <w:lsdException w:name="List" w:uiPriority="0"/>
    <w:lsdException w:name="Title" w:locked="1" w:semiHidden="0" w:uiPriority="0" w:unhideWhenUsed="0" w:qFormat="1"/>
    <w:lsdException w:name="Default Paragraph Font" w:locked="1" w:semiHidden="0" w:uiPriority="0"/>
    <w:lsdException w:name="Body Text" w:uiPriority="0"/>
    <w:lsdException w:name="Body Text Indent" w:uiPriority="0"/>
    <w:lsdException w:name="Subtitle" w:locked="1" w:semiHidden="0" w:uiPriority="0" w:unhideWhenUsed="0" w:qFormat="1"/>
    <w:lsdException w:name="Salutation" w:uiPriority="0"/>
    <w:lsdException w:name="Date" w:uiPriority="0"/>
    <w:lsdException w:name="Body Text First Indent" w:uiPriority="0"/>
    <w:lsdException w:name="Body Text 2" w:uiPriority="0"/>
    <w:lsdException w:name="Body Text 3" w:uiPriority="0"/>
    <w:lsdException w:name="Body Text Indent 2" w:uiPriority="0"/>
    <w:lsdException w:name="Body Text Indent 3" w:uiPriority="0"/>
    <w:lsdException w:name="Hyperlink" w:uiPriority="0"/>
    <w:lsdException w:name="FollowedHyperlink" w:uiPriority="0"/>
    <w:lsdException w:name="Strong" w:locked="1" w:semiHidden="0" w:uiPriority="0" w:unhideWhenUsed="0" w:qFormat="1"/>
    <w:lsdException w:name="Emphasis" w:locked="1" w:semiHidden="0" w:uiPriority="0" w:unhideWhenUsed="0" w:qFormat="1"/>
    <w:lsdException w:name="Document Map" w:uiPriority="0"/>
    <w:lsdException w:name="Plain Text" w:uiPriority="0"/>
    <w:lsdException w:name="HTML Bottom of Form" w:uiPriority="0"/>
    <w:lsdException w:name="Normal (Web)" w:uiPriority="0"/>
    <w:lsdException w:name="HTML Preformatted" w:uiPriority="0"/>
    <w:lsdException w:name="HTML Sample" w:uiPriority="0"/>
    <w:lsdException w:name="annotation subject" w:uiPriority="0"/>
    <w:lsdException w:name="Table Simple 1" w:uiPriority="0"/>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B4294"/>
    <w:pPr>
      <w:widowControl w:val="0"/>
      <w:jc w:val="both"/>
    </w:pPr>
    <w:rPr>
      <w:kern w:val="2"/>
      <w:sz w:val="21"/>
      <w:szCs w:val="24"/>
    </w:rPr>
  </w:style>
  <w:style w:type="paragraph" w:styleId="1">
    <w:name w:val="heading 1"/>
    <w:basedOn w:val="a"/>
    <w:link w:val="1Char"/>
    <w:qFormat/>
    <w:rsid w:val="002B4294"/>
    <w:pPr>
      <w:widowControl/>
      <w:spacing w:before="100" w:beforeAutospacing="1" w:after="100" w:afterAutospacing="1"/>
      <w:jc w:val="left"/>
      <w:outlineLvl w:val="0"/>
    </w:pPr>
    <w:rPr>
      <w:rFonts w:ascii="宋体" w:hAnsi="宋体" w:cs="宋体"/>
      <w:b/>
      <w:bCs/>
      <w:kern w:val="36"/>
      <w:sz w:val="48"/>
      <w:szCs w:val="48"/>
    </w:rPr>
  </w:style>
  <w:style w:type="paragraph" w:styleId="2">
    <w:name w:val="heading 2"/>
    <w:aliases w:val="H2"/>
    <w:basedOn w:val="a"/>
    <w:next w:val="a"/>
    <w:link w:val="2Char"/>
    <w:qFormat/>
    <w:rsid w:val="002B4294"/>
    <w:pPr>
      <w:keepNext/>
      <w:keepLines/>
      <w:spacing w:before="260" w:after="260" w:line="416" w:lineRule="auto"/>
      <w:outlineLvl w:val="1"/>
    </w:pPr>
    <w:rPr>
      <w:rFonts w:ascii="Cambria" w:hAnsi="Cambria"/>
      <w:b/>
      <w:bCs/>
      <w:sz w:val="32"/>
      <w:szCs w:val="32"/>
      <w:lang w:val="x-none" w:eastAsia="x-none"/>
    </w:rPr>
  </w:style>
  <w:style w:type="paragraph" w:styleId="3">
    <w:name w:val="heading 3"/>
    <w:basedOn w:val="a"/>
    <w:next w:val="a"/>
    <w:link w:val="3Char"/>
    <w:qFormat/>
    <w:rsid w:val="005C0CF7"/>
    <w:pPr>
      <w:keepNext/>
      <w:keepLines/>
      <w:spacing w:before="260" w:after="260" w:line="416" w:lineRule="auto"/>
      <w:outlineLvl w:val="2"/>
    </w:pPr>
    <w:rPr>
      <w:b/>
      <w:bCs/>
      <w:sz w:val="32"/>
      <w:szCs w:val="32"/>
      <w:lang w:val="x-none" w:eastAsia="x-none"/>
    </w:rPr>
  </w:style>
  <w:style w:type="paragraph" w:styleId="4">
    <w:name w:val="heading 4"/>
    <w:basedOn w:val="a"/>
    <w:next w:val="a"/>
    <w:link w:val="4Char"/>
    <w:qFormat/>
    <w:locked/>
    <w:rsid w:val="001C0E8F"/>
    <w:pPr>
      <w:keepNext/>
      <w:spacing w:line="240" w:lineRule="exact"/>
      <w:outlineLvl w:val="3"/>
    </w:pPr>
    <w:rPr>
      <w:b/>
      <w:kern w:val="0"/>
      <w:sz w:val="20"/>
      <w:szCs w:val="20"/>
      <w:lang w:val="x-none" w:eastAsia="x-none"/>
    </w:rPr>
  </w:style>
  <w:style w:type="paragraph" w:styleId="6">
    <w:name w:val="heading 6"/>
    <w:basedOn w:val="a"/>
    <w:next w:val="a"/>
    <w:link w:val="6Char"/>
    <w:qFormat/>
    <w:locked/>
    <w:rsid w:val="001C0E8F"/>
    <w:pPr>
      <w:keepNext/>
      <w:spacing w:line="240" w:lineRule="exact"/>
      <w:outlineLvl w:val="5"/>
    </w:pPr>
    <w:rPr>
      <w:b/>
      <w:kern w:val="0"/>
      <w:sz w:val="20"/>
      <w:szCs w:val="20"/>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link w:val="1"/>
    <w:locked/>
    <w:rsid w:val="002B4294"/>
    <w:rPr>
      <w:rFonts w:ascii="宋体" w:eastAsia="宋体" w:hAnsi="宋体" w:cs="宋体"/>
      <w:b/>
      <w:bCs/>
      <w:kern w:val="36"/>
      <w:sz w:val="48"/>
      <w:szCs w:val="48"/>
      <w:lang w:val="en-US" w:eastAsia="zh-CN" w:bidi="ar-SA"/>
    </w:rPr>
  </w:style>
  <w:style w:type="character" w:customStyle="1" w:styleId="2Char">
    <w:name w:val="标题 2 Char"/>
    <w:aliases w:val="H2 Char"/>
    <w:link w:val="2"/>
    <w:locked/>
    <w:rsid w:val="006A2BF5"/>
    <w:rPr>
      <w:rFonts w:ascii="Cambria" w:eastAsia="宋体" w:hAnsi="Cambria" w:cs="Times New Roman"/>
      <w:b/>
      <w:bCs/>
      <w:kern w:val="2"/>
      <w:sz w:val="32"/>
      <w:szCs w:val="32"/>
    </w:rPr>
  </w:style>
  <w:style w:type="character" w:customStyle="1" w:styleId="3Char">
    <w:name w:val="标题 3 Char"/>
    <w:link w:val="3"/>
    <w:locked/>
    <w:rsid w:val="005C0CF7"/>
    <w:rPr>
      <w:rFonts w:cs="Times New Roman"/>
      <w:b/>
      <w:bCs/>
      <w:kern w:val="2"/>
      <w:sz w:val="32"/>
      <w:szCs w:val="32"/>
    </w:rPr>
  </w:style>
  <w:style w:type="character" w:customStyle="1" w:styleId="4Char">
    <w:name w:val="标题 4 Char"/>
    <w:link w:val="4"/>
    <w:rsid w:val="001C0E8F"/>
    <w:rPr>
      <w:b/>
      <w:lang w:val="x-none" w:eastAsia="x-none"/>
    </w:rPr>
  </w:style>
  <w:style w:type="character" w:customStyle="1" w:styleId="6Char">
    <w:name w:val="标题 6 Char"/>
    <w:link w:val="6"/>
    <w:rsid w:val="001C0E8F"/>
    <w:rPr>
      <w:b/>
      <w:lang w:val="x-none" w:eastAsia="x-none"/>
    </w:rPr>
  </w:style>
  <w:style w:type="paragraph" w:styleId="a3">
    <w:name w:val="Balloon Text"/>
    <w:basedOn w:val="a"/>
    <w:link w:val="Char"/>
    <w:uiPriority w:val="99"/>
    <w:rsid w:val="002B4294"/>
    <w:rPr>
      <w:sz w:val="18"/>
      <w:szCs w:val="18"/>
    </w:rPr>
  </w:style>
  <w:style w:type="character" w:customStyle="1" w:styleId="Char">
    <w:name w:val="批注框文本 Char"/>
    <w:link w:val="a3"/>
    <w:uiPriority w:val="99"/>
    <w:locked/>
    <w:rsid w:val="002B4294"/>
    <w:rPr>
      <w:rFonts w:eastAsia="宋体" w:cs="Times New Roman"/>
      <w:kern w:val="2"/>
      <w:sz w:val="18"/>
      <w:szCs w:val="18"/>
      <w:lang w:val="en-US" w:eastAsia="zh-CN" w:bidi="ar-SA"/>
    </w:rPr>
  </w:style>
  <w:style w:type="character" w:customStyle="1" w:styleId="p1481">
    <w:name w:val="p1481"/>
    <w:rsid w:val="002B4294"/>
    <w:rPr>
      <w:rFonts w:cs="Times New Roman"/>
    </w:rPr>
  </w:style>
  <w:style w:type="paragraph" w:styleId="a4">
    <w:name w:val="Plain Text"/>
    <w:aliases w:val="Char Char Char Char Char,普通文字, Char Char Char Char Char"/>
    <w:basedOn w:val="a"/>
    <w:link w:val="Char0"/>
    <w:rsid w:val="002B4294"/>
    <w:pPr>
      <w:widowControl/>
      <w:spacing w:before="100" w:beforeAutospacing="1" w:after="100" w:afterAutospacing="1"/>
      <w:jc w:val="left"/>
    </w:pPr>
    <w:rPr>
      <w:rFonts w:ascii="宋体" w:hAnsi="宋体" w:cs="宋体"/>
      <w:kern w:val="0"/>
      <w:sz w:val="24"/>
    </w:rPr>
  </w:style>
  <w:style w:type="character" w:customStyle="1" w:styleId="Char0">
    <w:name w:val="纯文本 Char"/>
    <w:aliases w:val="Char Char Char Char Char Char1,普通文字 Char1, Char Char Char Char Char Char"/>
    <w:link w:val="a4"/>
    <w:locked/>
    <w:rsid w:val="002B4294"/>
    <w:rPr>
      <w:rFonts w:ascii="宋体" w:eastAsia="宋体" w:hAnsi="宋体" w:cs="宋体"/>
      <w:sz w:val="24"/>
      <w:szCs w:val="24"/>
      <w:lang w:val="en-US" w:eastAsia="zh-CN" w:bidi="ar-SA"/>
    </w:rPr>
  </w:style>
  <w:style w:type="paragraph" w:styleId="a5">
    <w:name w:val="Normal (Web)"/>
    <w:basedOn w:val="a"/>
    <w:rsid w:val="002B4294"/>
    <w:pPr>
      <w:widowControl/>
      <w:spacing w:before="100" w:beforeAutospacing="1" w:after="100" w:afterAutospacing="1"/>
      <w:jc w:val="left"/>
    </w:pPr>
    <w:rPr>
      <w:rFonts w:ascii="宋体" w:hAnsi="宋体" w:cs="宋体"/>
      <w:kern w:val="0"/>
      <w:sz w:val="24"/>
    </w:rPr>
  </w:style>
  <w:style w:type="paragraph" w:styleId="30">
    <w:name w:val="Body Text Indent 3"/>
    <w:basedOn w:val="a"/>
    <w:link w:val="3Char0"/>
    <w:rsid w:val="002B4294"/>
    <w:pPr>
      <w:spacing w:beforeLines="50" w:afterLines="50" w:line="360" w:lineRule="exact"/>
      <w:ind w:firstLineChars="200" w:firstLine="480"/>
    </w:pPr>
    <w:rPr>
      <w:sz w:val="16"/>
      <w:szCs w:val="16"/>
      <w:lang w:val="x-none" w:eastAsia="x-none"/>
    </w:rPr>
  </w:style>
  <w:style w:type="character" w:customStyle="1" w:styleId="3Char0">
    <w:name w:val="正文文本缩进 3 Char"/>
    <w:link w:val="30"/>
    <w:locked/>
    <w:rsid w:val="006A2BF5"/>
    <w:rPr>
      <w:rFonts w:cs="Times New Roman"/>
      <w:kern w:val="2"/>
      <w:sz w:val="16"/>
      <w:szCs w:val="16"/>
    </w:rPr>
  </w:style>
  <w:style w:type="paragraph" w:customStyle="1" w:styleId="Char1">
    <w:name w:val="Char"/>
    <w:basedOn w:val="a"/>
    <w:rsid w:val="002B4294"/>
    <w:rPr>
      <w:rFonts w:ascii="Tahoma" w:hAnsi="Tahoma"/>
      <w:sz w:val="24"/>
      <w:szCs w:val="20"/>
    </w:rPr>
  </w:style>
  <w:style w:type="paragraph" w:customStyle="1" w:styleId="a6">
    <w:name w:val="列项——（一级）"/>
    <w:rsid w:val="002B4294"/>
    <w:pPr>
      <w:widowControl w:val="0"/>
      <w:tabs>
        <w:tab w:val="num" w:pos="780"/>
      </w:tabs>
      <w:ind w:left="780" w:hanging="360"/>
      <w:jc w:val="both"/>
    </w:pPr>
    <w:rPr>
      <w:rFonts w:ascii="宋体"/>
      <w:sz w:val="21"/>
    </w:rPr>
  </w:style>
  <w:style w:type="paragraph" w:styleId="a7">
    <w:name w:val="annotation text"/>
    <w:basedOn w:val="a"/>
    <w:link w:val="Char2"/>
    <w:rsid w:val="002B4294"/>
    <w:pPr>
      <w:jc w:val="left"/>
    </w:pPr>
    <w:rPr>
      <w:sz w:val="24"/>
    </w:rPr>
  </w:style>
  <w:style w:type="character" w:customStyle="1" w:styleId="Char2">
    <w:name w:val="批注文字 Char"/>
    <w:link w:val="a7"/>
    <w:locked/>
    <w:rsid w:val="002B4294"/>
    <w:rPr>
      <w:rFonts w:eastAsia="宋体" w:cs="Times New Roman"/>
      <w:kern w:val="2"/>
      <w:sz w:val="24"/>
      <w:szCs w:val="24"/>
      <w:lang w:val="en-US" w:eastAsia="zh-CN" w:bidi="ar-SA"/>
    </w:rPr>
  </w:style>
  <w:style w:type="character" w:styleId="HTML">
    <w:name w:val="HTML Sample"/>
    <w:rsid w:val="002B4294"/>
    <w:rPr>
      <w:rFonts w:ascii="Courier New" w:hAnsi="Courier New" w:cs="Times New Roman"/>
    </w:rPr>
  </w:style>
  <w:style w:type="paragraph" w:customStyle="1" w:styleId="a8">
    <w:name w:val="段"/>
    <w:rsid w:val="002B4294"/>
    <w:pPr>
      <w:autoSpaceDE w:val="0"/>
      <w:autoSpaceDN w:val="0"/>
      <w:ind w:firstLineChars="200" w:firstLine="200"/>
      <w:jc w:val="both"/>
    </w:pPr>
    <w:rPr>
      <w:rFonts w:ascii="宋体"/>
      <w:noProof/>
      <w:sz w:val="21"/>
    </w:rPr>
  </w:style>
  <w:style w:type="paragraph" w:styleId="a9">
    <w:name w:val="footer"/>
    <w:basedOn w:val="a"/>
    <w:link w:val="Char3"/>
    <w:uiPriority w:val="99"/>
    <w:rsid w:val="002B4294"/>
    <w:pPr>
      <w:tabs>
        <w:tab w:val="center" w:pos="4153"/>
        <w:tab w:val="right" w:pos="8306"/>
      </w:tabs>
      <w:snapToGrid w:val="0"/>
      <w:jc w:val="left"/>
    </w:pPr>
    <w:rPr>
      <w:sz w:val="18"/>
      <w:szCs w:val="18"/>
    </w:rPr>
  </w:style>
  <w:style w:type="character" w:customStyle="1" w:styleId="Char3">
    <w:name w:val="页脚 Char"/>
    <w:link w:val="a9"/>
    <w:uiPriority w:val="99"/>
    <w:locked/>
    <w:rsid w:val="002B4294"/>
    <w:rPr>
      <w:rFonts w:eastAsia="宋体" w:cs="Times New Roman"/>
      <w:kern w:val="2"/>
      <w:sz w:val="18"/>
      <w:szCs w:val="18"/>
      <w:lang w:val="en-US" w:eastAsia="zh-CN" w:bidi="ar-SA"/>
    </w:rPr>
  </w:style>
  <w:style w:type="character" w:styleId="aa">
    <w:name w:val="page number"/>
    <w:rsid w:val="002B4294"/>
    <w:rPr>
      <w:rFonts w:cs="Times New Roman"/>
    </w:rPr>
  </w:style>
  <w:style w:type="paragraph" w:styleId="ab">
    <w:name w:val="Date"/>
    <w:basedOn w:val="a"/>
    <w:next w:val="a"/>
    <w:link w:val="Char4"/>
    <w:rsid w:val="002B4294"/>
    <w:rPr>
      <w:sz w:val="24"/>
      <w:lang w:val="x-none" w:eastAsia="x-none"/>
    </w:rPr>
  </w:style>
  <w:style w:type="character" w:customStyle="1" w:styleId="Char4">
    <w:name w:val="日期 Char"/>
    <w:link w:val="ab"/>
    <w:locked/>
    <w:rsid w:val="006A2BF5"/>
    <w:rPr>
      <w:rFonts w:cs="Times New Roman"/>
      <w:kern w:val="2"/>
      <w:sz w:val="24"/>
      <w:szCs w:val="24"/>
    </w:rPr>
  </w:style>
  <w:style w:type="paragraph" w:styleId="ac">
    <w:name w:val="Salutation"/>
    <w:basedOn w:val="a"/>
    <w:next w:val="a"/>
    <w:link w:val="Char5"/>
    <w:rsid w:val="002B4294"/>
    <w:pPr>
      <w:adjustRightInd w:val="0"/>
      <w:spacing w:line="312" w:lineRule="atLeast"/>
      <w:textAlignment w:val="baseline"/>
    </w:pPr>
    <w:rPr>
      <w:sz w:val="24"/>
      <w:lang w:val="x-none" w:eastAsia="x-none"/>
    </w:rPr>
  </w:style>
  <w:style w:type="character" w:customStyle="1" w:styleId="Char5">
    <w:name w:val="称呼 Char"/>
    <w:link w:val="ac"/>
    <w:locked/>
    <w:rsid w:val="006A2BF5"/>
    <w:rPr>
      <w:rFonts w:cs="Times New Roman"/>
      <w:kern w:val="2"/>
      <w:sz w:val="24"/>
      <w:szCs w:val="24"/>
    </w:rPr>
  </w:style>
  <w:style w:type="paragraph" w:customStyle="1" w:styleId="ad">
    <w:name w:val="前言、引言标题"/>
    <w:next w:val="a"/>
    <w:rsid w:val="002B4294"/>
    <w:pPr>
      <w:shd w:val="clear" w:color="FFFFFF" w:fill="FFFFFF"/>
      <w:spacing w:before="640" w:after="560"/>
      <w:jc w:val="center"/>
      <w:outlineLvl w:val="0"/>
    </w:pPr>
    <w:rPr>
      <w:rFonts w:ascii="黑体" w:eastAsia="黑体"/>
      <w:sz w:val="32"/>
    </w:rPr>
  </w:style>
  <w:style w:type="paragraph" w:customStyle="1" w:styleId="ae">
    <w:name w:val="章标题"/>
    <w:next w:val="a8"/>
    <w:rsid w:val="002B4294"/>
    <w:pPr>
      <w:spacing w:beforeLines="50" w:afterLines="50"/>
      <w:jc w:val="both"/>
      <w:outlineLvl w:val="1"/>
    </w:pPr>
    <w:rPr>
      <w:rFonts w:ascii="黑体" w:eastAsia="黑体"/>
      <w:sz w:val="21"/>
    </w:rPr>
  </w:style>
  <w:style w:type="paragraph" w:customStyle="1" w:styleId="af">
    <w:name w:val="一级条标题"/>
    <w:next w:val="a8"/>
    <w:rsid w:val="002B4294"/>
    <w:pPr>
      <w:outlineLvl w:val="2"/>
    </w:pPr>
    <w:rPr>
      <w:rFonts w:eastAsia="黑体"/>
      <w:sz w:val="21"/>
    </w:rPr>
  </w:style>
  <w:style w:type="paragraph" w:customStyle="1" w:styleId="af0">
    <w:name w:val="二级条标题"/>
    <w:basedOn w:val="af"/>
    <w:next w:val="a8"/>
    <w:rsid w:val="002B4294"/>
    <w:pPr>
      <w:numPr>
        <w:ilvl w:val="3"/>
      </w:numPr>
      <w:outlineLvl w:val="3"/>
    </w:pPr>
  </w:style>
  <w:style w:type="paragraph" w:customStyle="1" w:styleId="af1">
    <w:name w:val="三级条标题"/>
    <w:basedOn w:val="af0"/>
    <w:next w:val="a8"/>
    <w:rsid w:val="002B4294"/>
    <w:pPr>
      <w:numPr>
        <w:ilvl w:val="4"/>
      </w:numPr>
      <w:outlineLvl w:val="4"/>
    </w:pPr>
  </w:style>
  <w:style w:type="paragraph" w:customStyle="1" w:styleId="af2">
    <w:name w:val="四级条标题"/>
    <w:basedOn w:val="af1"/>
    <w:next w:val="a8"/>
    <w:rsid w:val="002B4294"/>
    <w:pPr>
      <w:numPr>
        <w:ilvl w:val="5"/>
      </w:numPr>
      <w:outlineLvl w:val="5"/>
    </w:pPr>
  </w:style>
  <w:style w:type="paragraph" w:customStyle="1" w:styleId="af3">
    <w:name w:val="五级条标题"/>
    <w:basedOn w:val="af2"/>
    <w:next w:val="a8"/>
    <w:rsid w:val="002B4294"/>
    <w:pPr>
      <w:numPr>
        <w:ilvl w:val="6"/>
      </w:numPr>
      <w:outlineLvl w:val="6"/>
    </w:pPr>
  </w:style>
  <w:style w:type="paragraph" w:styleId="af4">
    <w:name w:val="Body Text Indent"/>
    <w:basedOn w:val="a"/>
    <w:link w:val="Char6"/>
    <w:rsid w:val="002B4294"/>
    <w:pPr>
      <w:spacing w:after="120"/>
      <w:ind w:leftChars="200" w:left="420"/>
    </w:pPr>
    <w:rPr>
      <w:sz w:val="24"/>
      <w:lang w:val="x-none" w:eastAsia="x-none"/>
    </w:rPr>
  </w:style>
  <w:style w:type="character" w:customStyle="1" w:styleId="Char6">
    <w:name w:val="正文文本缩进 Char"/>
    <w:link w:val="af4"/>
    <w:locked/>
    <w:rsid w:val="006A2BF5"/>
    <w:rPr>
      <w:rFonts w:cs="Times New Roman"/>
      <w:kern w:val="2"/>
      <w:sz w:val="24"/>
      <w:szCs w:val="24"/>
    </w:rPr>
  </w:style>
  <w:style w:type="paragraph" w:styleId="af5">
    <w:name w:val="header"/>
    <w:basedOn w:val="a"/>
    <w:link w:val="Char7"/>
    <w:rsid w:val="002B4294"/>
    <w:pPr>
      <w:pBdr>
        <w:bottom w:val="single" w:sz="6" w:space="1" w:color="auto"/>
      </w:pBdr>
      <w:tabs>
        <w:tab w:val="center" w:pos="4153"/>
        <w:tab w:val="right" w:pos="8306"/>
      </w:tabs>
      <w:snapToGrid w:val="0"/>
      <w:jc w:val="center"/>
    </w:pPr>
    <w:rPr>
      <w:rFonts w:ascii="Calibri" w:hAnsi="Calibri"/>
      <w:sz w:val="18"/>
      <w:szCs w:val="18"/>
    </w:rPr>
  </w:style>
  <w:style w:type="character" w:customStyle="1" w:styleId="Char7">
    <w:name w:val="页眉 Char"/>
    <w:link w:val="af5"/>
    <w:locked/>
    <w:rsid w:val="002B4294"/>
    <w:rPr>
      <w:rFonts w:ascii="Calibri" w:eastAsia="宋体" w:hAnsi="Calibri" w:cs="Times New Roman"/>
      <w:kern w:val="2"/>
      <w:sz w:val="18"/>
      <w:szCs w:val="18"/>
      <w:lang w:val="en-US" w:eastAsia="zh-CN" w:bidi="ar-SA"/>
    </w:rPr>
  </w:style>
  <w:style w:type="table" w:styleId="af6">
    <w:name w:val="Table Grid"/>
    <w:basedOn w:val="a1"/>
    <w:uiPriority w:val="59"/>
    <w:rsid w:val="002B4294"/>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7">
    <w:name w:val="Document Map"/>
    <w:basedOn w:val="a"/>
    <w:link w:val="Char8"/>
    <w:rsid w:val="002B4294"/>
    <w:pPr>
      <w:shd w:val="clear" w:color="auto" w:fill="000080"/>
    </w:pPr>
    <w:rPr>
      <w:sz w:val="2"/>
      <w:szCs w:val="20"/>
      <w:lang w:val="x-none" w:eastAsia="x-none"/>
    </w:rPr>
  </w:style>
  <w:style w:type="character" w:customStyle="1" w:styleId="Char8">
    <w:name w:val="文档结构图 Char"/>
    <w:link w:val="af7"/>
    <w:locked/>
    <w:rsid w:val="006A2BF5"/>
    <w:rPr>
      <w:rFonts w:cs="Times New Roman"/>
      <w:kern w:val="2"/>
      <w:sz w:val="2"/>
    </w:rPr>
  </w:style>
  <w:style w:type="paragraph" w:styleId="af8">
    <w:name w:val="footnote text"/>
    <w:basedOn w:val="a"/>
    <w:link w:val="Char9"/>
    <w:rsid w:val="002B4294"/>
    <w:pPr>
      <w:snapToGrid w:val="0"/>
      <w:jc w:val="left"/>
    </w:pPr>
    <w:rPr>
      <w:sz w:val="18"/>
      <w:szCs w:val="18"/>
    </w:rPr>
  </w:style>
  <w:style w:type="character" w:customStyle="1" w:styleId="Char9">
    <w:name w:val="脚注文本 Char"/>
    <w:link w:val="af8"/>
    <w:locked/>
    <w:rsid w:val="002B4294"/>
    <w:rPr>
      <w:rFonts w:eastAsia="宋体" w:cs="Times New Roman"/>
      <w:kern w:val="2"/>
      <w:sz w:val="18"/>
      <w:szCs w:val="18"/>
      <w:lang w:val="en-US" w:eastAsia="zh-CN" w:bidi="ar-SA"/>
    </w:rPr>
  </w:style>
  <w:style w:type="character" w:styleId="af9">
    <w:name w:val="footnote reference"/>
    <w:rsid w:val="002B4294"/>
    <w:rPr>
      <w:rFonts w:cs="Times New Roman"/>
      <w:vertAlign w:val="superscript"/>
    </w:rPr>
  </w:style>
  <w:style w:type="paragraph" w:styleId="HTML0">
    <w:name w:val="HTML Preformatted"/>
    <w:basedOn w:val="a"/>
    <w:link w:val="HTMLChar"/>
    <w:rsid w:val="002B429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sz w:val="20"/>
      <w:szCs w:val="20"/>
      <w:lang w:val="x-none" w:eastAsia="x-none"/>
    </w:rPr>
  </w:style>
  <w:style w:type="character" w:customStyle="1" w:styleId="HTMLChar">
    <w:name w:val="HTML 预设格式 Char"/>
    <w:link w:val="HTML0"/>
    <w:locked/>
    <w:rsid w:val="006A2BF5"/>
    <w:rPr>
      <w:rFonts w:ascii="Courier New" w:hAnsi="Courier New" w:cs="Courier New"/>
      <w:kern w:val="2"/>
    </w:rPr>
  </w:style>
  <w:style w:type="paragraph" w:customStyle="1" w:styleId="CharCharCharCharCharChar">
    <w:name w:val="Char Char Char Char Char Char"/>
    <w:basedOn w:val="a"/>
    <w:uiPriority w:val="99"/>
    <w:rsid w:val="002B4294"/>
    <w:pPr>
      <w:widowControl/>
      <w:spacing w:after="160" w:line="240" w:lineRule="exact"/>
      <w:ind w:leftChars="27" w:left="27" w:rightChars="200" w:right="200" w:firstLineChars="200" w:firstLine="200"/>
      <w:jc w:val="left"/>
    </w:pPr>
    <w:rPr>
      <w:rFonts w:ascii="Arial" w:hAnsi="Arial" w:cs="Arial"/>
      <w:b/>
      <w:bCs/>
      <w:kern w:val="0"/>
      <w:sz w:val="24"/>
      <w:szCs w:val="22"/>
      <w:lang w:eastAsia="en-US"/>
    </w:rPr>
  </w:style>
  <w:style w:type="paragraph" w:customStyle="1" w:styleId="Default">
    <w:name w:val="Default"/>
    <w:rsid w:val="002B4294"/>
    <w:pPr>
      <w:widowControl w:val="0"/>
      <w:autoSpaceDE w:val="0"/>
      <w:autoSpaceDN w:val="0"/>
      <w:adjustRightInd w:val="0"/>
    </w:pPr>
    <w:rPr>
      <w:color w:val="000000"/>
      <w:sz w:val="24"/>
      <w:szCs w:val="24"/>
    </w:rPr>
  </w:style>
  <w:style w:type="character" w:customStyle="1" w:styleId="11Char">
    <w:name w:val="样式11 Char"/>
    <w:link w:val="11"/>
    <w:locked/>
    <w:rsid w:val="002B4294"/>
    <w:rPr>
      <w:rFonts w:ascii="黑体" w:eastAsia="黑体" w:hAnsi="宋体" w:cs="宋体"/>
      <w:kern w:val="2"/>
      <w:sz w:val="24"/>
      <w:lang w:val="en-US" w:eastAsia="zh-CN" w:bidi="ar-SA"/>
    </w:rPr>
  </w:style>
  <w:style w:type="paragraph" w:customStyle="1" w:styleId="11">
    <w:name w:val="样式11"/>
    <w:basedOn w:val="a"/>
    <w:link w:val="11Char"/>
    <w:rsid w:val="002B4294"/>
    <w:pPr>
      <w:spacing w:beforeLines="100" w:afterLines="100" w:line="460" w:lineRule="exact"/>
      <w:ind w:firstLineChars="189" w:firstLine="454"/>
    </w:pPr>
    <w:rPr>
      <w:rFonts w:ascii="黑体" w:eastAsia="黑体" w:hAnsi="宋体" w:cs="宋体"/>
      <w:sz w:val="24"/>
      <w:szCs w:val="20"/>
    </w:rPr>
  </w:style>
  <w:style w:type="paragraph" w:styleId="afa">
    <w:name w:val="List Paragraph"/>
    <w:basedOn w:val="a"/>
    <w:qFormat/>
    <w:rsid w:val="002B4294"/>
    <w:pPr>
      <w:ind w:firstLineChars="200" w:firstLine="420"/>
    </w:pPr>
    <w:rPr>
      <w:rFonts w:ascii="Calibri" w:hAnsi="Calibri"/>
      <w:szCs w:val="22"/>
    </w:rPr>
  </w:style>
  <w:style w:type="character" w:styleId="afb">
    <w:name w:val="annotation reference"/>
    <w:rsid w:val="00525B4A"/>
    <w:rPr>
      <w:rFonts w:cs="Times New Roman"/>
      <w:sz w:val="21"/>
      <w:szCs w:val="21"/>
    </w:rPr>
  </w:style>
  <w:style w:type="paragraph" w:styleId="afc">
    <w:name w:val="annotation subject"/>
    <w:basedOn w:val="a7"/>
    <w:next w:val="a7"/>
    <w:link w:val="Chara"/>
    <w:rsid w:val="00525B4A"/>
    <w:rPr>
      <w:b/>
      <w:bCs/>
    </w:rPr>
  </w:style>
  <w:style w:type="character" w:customStyle="1" w:styleId="Chara">
    <w:name w:val="批注主题 Char"/>
    <w:link w:val="afc"/>
    <w:locked/>
    <w:rsid w:val="006A2BF5"/>
    <w:rPr>
      <w:rFonts w:eastAsia="宋体" w:cs="Times New Roman"/>
      <w:b/>
      <w:bCs/>
      <w:kern w:val="2"/>
      <w:sz w:val="24"/>
      <w:szCs w:val="24"/>
      <w:lang w:val="en-US" w:eastAsia="zh-CN" w:bidi="ar-SA"/>
    </w:rPr>
  </w:style>
  <w:style w:type="character" w:styleId="afd">
    <w:name w:val="Hyperlink"/>
    <w:rsid w:val="00F9716D"/>
    <w:rPr>
      <w:rFonts w:cs="Times New Roman"/>
      <w:color w:val="0000FF"/>
      <w:u w:val="single"/>
    </w:rPr>
  </w:style>
  <w:style w:type="character" w:customStyle="1" w:styleId="apple-style-span">
    <w:name w:val="apple-style-span"/>
    <w:rsid w:val="00274E59"/>
    <w:rPr>
      <w:rFonts w:cs="Times New Roman"/>
    </w:rPr>
  </w:style>
  <w:style w:type="character" w:styleId="afe">
    <w:name w:val="Emphasis"/>
    <w:qFormat/>
    <w:rsid w:val="00F17AE7"/>
    <w:rPr>
      <w:rFonts w:cs="Times New Roman"/>
      <w:color w:val="CC0000"/>
    </w:rPr>
  </w:style>
  <w:style w:type="paragraph" w:styleId="aff">
    <w:name w:val="caption"/>
    <w:basedOn w:val="a"/>
    <w:next w:val="a"/>
    <w:qFormat/>
    <w:rsid w:val="00224402"/>
    <w:rPr>
      <w:rFonts w:ascii="Arial" w:eastAsia="黑体" w:hAnsi="Arial" w:cs="Arial"/>
      <w:sz w:val="20"/>
      <w:szCs w:val="20"/>
    </w:rPr>
  </w:style>
  <w:style w:type="paragraph" w:customStyle="1" w:styleId="aff0">
    <w:name w:val="报告正文"/>
    <w:basedOn w:val="a"/>
    <w:link w:val="Charb"/>
    <w:uiPriority w:val="99"/>
    <w:rsid w:val="00FD5021"/>
    <w:pPr>
      <w:autoSpaceDE w:val="0"/>
      <w:autoSpaceDN w:val="0"/>
      <w:adjustRightInd w:val="0"/>
      <w:snapToGrid w:val="0"/>
      <w:spacing w:line="320" w:lineRule="exact"/>
      <w:ind w:firstLineChars="200" w:firstLine="200"/>
      <w:jc w:val="left"/>
    </w:pPr>
    <w:rPr>
      <w:color w:val="000000"/>
      <w:szCs w:val="21"/>
      <w:lang w:val="x-none" w:eastAsia="x-none"/>
    </w:rPr>
  </w:style>
  <w:style w:type="character" w:customStyle="1" w:styleId="Charb">
    <w:name w:val="报告正文 Char"/>
    <w:link w:val="aff0"/>
    <w:uiPriority w:val="99"/>
    <w:locked/>
    <w:rsid w:val="00FD5021"/>
    <w:rPr>
      <w:rFonts w:cs="Times New Roman"/>
      <w:color w:val="000000"/>
      <w:kern w:val="2"/>
      <w:sz w:val="21"/>
      <w:szCs w:val="21"/>
    </w:rPr>
  </w:style>
  <w:style w:type="paragraph" w:customStyle="1" w:styleId="aff1">
    <w:name w:val="报告标题"/>
    <w:basedOn w:val="a"/>
    <w:next w:val="aff0"/>
    <w:link w:val="Charc"/>
    <w:uiPriority w:val="99"/>
    <w:rsid w:val="000F7BB3"/>
    <w:pPr>
      <w:tabs>
        <w:tab w:val="num" w:pos="2205"/>
      </w:tabs>
      <w:adjustRightInd w:val="0"/>
      <w:snapToGrid w:val="0"/>
      <w:spacing w:beforeLines="100" w:afterLines="50"/>
      <w:ind w:left="2205" w:hanging="420"/>
      <w:outlineLvl w:val="0"/>
    </w:pPr>
    <w:rPr>
      <w:rFonts w:eastAsia="黑体"/>
      <w:b/>
      <w:color w:val="000000"/>
      <w:sz w:val="24"/>
      <w:lang w:val="x-none" w:eastAsia="x-none"/>
    </w:rPr>
  </w:style>
  <w:style w:type="character" w:customStyle="1" w:styleId="Charc">
    <w:name w:val="报告标题 Char"/>
    <w:link w:val="aff1"/>
    <w:uiPriority w:val="99"/>
    <w:locked/>
    <w:rsid w:val="000F7BB3"/>
    <w:rPr>
      <w:rFonts w:eastAsia="黑体"/>
      <w:b/>
      <w:color w:val="000000"/>
      <w:kern w:val="2"/>
      <w:sz w:val="24"/>
      <w:szCs w:val="24"/>
    </w:rPr>
  </w:style>
  <w:style w:type="paragraph" w:customStyle="1" w:styleId="aff2">
    <w:name w:val="报告观点"/>
    <w:basedOn w:val="a"/>
    <w:link w:val="Chard"/>
    <w:uiPriority w:val="99"/>
    <w:qFormat/>
    <w:rsid w:val="000F7BB3"/>
    <w:pPr>
      <w:spacing w:beforeLines="50" w:afterLines="50"/>
      <w:outlineLvl w:val="1"/>
    </w:pPr>
    <w:rPr>
      <w:rFonts w:eastAsia="黑体"/>
      <w:b/>
      <w:szCs w:val="21"/>
      <w:lang w:val="x-none" w:eastAsia="x-none"/>
    </w:rPr>
  </w:style>
  <w:style w:type="character" w:customStyle="1" w:styleId="Chard">
    <w:name w:val="报告观点 Char"/>
    <w:link w:val="aff2"/>
    <w:uiPriority w:val="99"/>
    <w:locked/>
    <w:rsid w:val="000F7BB3"/>
    <w:rPr>
      <w:rFonts w:eastAsia="黑体" w:cs="Times New Roman"/>
      <w:b/>
      <w:kern w:val="2"/>
      <w:sz w:val="21"/>
      <w:szCs w:val="21"/>
    </w:rPr>
  </w:style>
  <w:style w:type="table" w:customStyle="1" w:styleId="aff3">
    <w:name w:val="报告表格"/>
    <w:rsid w:val="006D38F0"/>
    <w:pPr>
      <w:jc w:val="center"/>
    </w:pPr>
    <w:rPr>
      <w:color w:val="000000"/>
      <w:sz w:val="18"/>
    </w:rPr>
    <w:tblPr>
      <w:tblStyleRowBandSize w:val="1"/>
      <w:jc w:val="center"/>
      <w:tblInd w:w="0" w:type="dxa"/>
      <w:tblBorders>
        <w:top w:val="single" w:sz="4" w:space="0" w:color="auto"/>
        <w:bottom w:val="single" w:sz="4" w:space="0" w:color="auto"/>
      </w:tblBorders>
      <w:tblCellMar>
        <w:top w:w="0" w:type="dxa"/>
        <w:left w:w="108" w:type="dxa"/>
        <w:bottom w:w="0" w:type="dxa"/>
        <w:right w:w="108" w:type="dxa"/>
      </w:tblCellMar>
    </w:tblPr>
    <w:trPr>
      <w:jc w:val="center"/>
    </w:trPr>
  </w:style>
  <w:style w:type="paragraph" w:customStyle="1" w:styleId="aff4">
    <w:name w:val="报告图标题"/>
    <w:basedOn w:val="a"/>
    <w:link w:val="Chare"/>
    <w:uiPriority w:val="99"/>
    <w:rsid w:val="00435921"/>
    <w:pPr>
      <w:spacing w:beforeLines="50" w:line="300" w:lineRule="auto"/>
      <w:ind w:left="3255" w:rightChars="100" w:right="210" w:hanging="420"/>
      <w:jc w:val="center"/>
    </w:pPr>
    <w:rPr>
      <w:rFonts w:eastAsia="黑体"/>
      <w:b/>
      <w:sz w:val="20"/>
      <w:szCs w:val="20"/>
      <w:lang w:val="x-none" w:eastAsia="x-none"/>
    </w:rPr>
  </w:style>
  <w:style w:type="character" w:customStyle="1" w:styleId="Chare">
    <w:name w:val="报告图标题 Char"/>
    <w:link w:val="aff4"/>
    <w:uiPriority w:val="99"/>
    <w:locked/>
    <w:rsid w:val="00435921"/>
    <w:rPr>
      <w:rFonts w:eastAsia="黑体"/>
      <w:b/>
      <w:kern w:val="2"/>
    </w:rPr>
  </w:style>
  <w:style w:type="paragraph" w:customStyle="1" w:styleId="aff5">
    <w:name w:val="报告表标题"/>
    <w:basedOn w:val="a"/>
    <w:link w:val="Charf"/>
    <w:rsid w:val="00435921"/>
    <w:pPr>
      <w:spacing w:beforeLines="50" w:line="300" w:lineRule="auto"/>
      <w:ind w:left="5666" w:hanging="420"/>
      <w:jc w:val="center"/>
    </w:pPr>
    <w:rPr>
      <w:rFonts w:eastAsia="黑体"/>
      <w:b/>
      <w:sz w:val="20"/>
      <w:szCs w:val="20"/>
      <w:lang w:val="x-none" w:eastAsia="x-none"/>
    </w:rPr>
  </w:style>
  <w:style w:type="character" w:customStyle="1" w:styleId="Charf">
    <w:name w:val="报告表标题 Char"/>
    <w:link w:val="aff5"/>
    <w:locked/>
    <w:rsid w:val="00435921"/>
    <w:rPr>
      <w:rFonts w:eastAsia="黑体" w:cs="Arial"/>
      <w:b/>
      <w:kern w:val="2"/>
    </w:rPr>
  </w:style>
  <w:style w:type="paragraph" w:customStyle="1" w:styleId="aff6">
    <w:name w:val="报告来源"/>
    <w:basedOn w:val="a"/>
    <w:link w:val="Charf0"/>
    <w:rsid w:val="00435921"/>
    <w:pPr>
      <w:spacing w:afterLines="100" w:line="240" w:lineRule="exact"/>
      <w:ind w:firstLine="300"/>
    </w:pPr>
    <w:rPr>
      <w:rFonts w:eastAsia="黑体"/>
      <w:sz w:val="15"/>
      <w:szCs w:val="15"/>
      <w:lang w:val="x-none" w:eastAsia="x-none"/>
    </w:rPr>
  </w:style>
  <w:style w:type="character" w:customStyle="1" w:styleId="Charf0">
    <w:name w:val="报告来源 Char"/>
    <w:link w:val="aff6"/>
    <w:locked/>
    <w:rsid w:val="00435921"/>
    <w:rPr>
      <w:rFonts w:eastAsia="黑体" w:cs="Times New Roman"/>
      <w:kern w:val="2"/>
      <w:sz w:val="15"/>
      <w:szCs w:val="15"/>
    </w:rPr>
  </w:style>
  <w:style w:type="paragraph" w:customStyle="1" w:styleId="aff7">
    <w:name w:val="报告脚注"/>
    <w:basedOn w:val="af8"/>
    <w:link w:val="Charf1"/>
    <w:rsid w:val="007A3D61"/>
    <w:rPr>
      <w:rFonts w:ascii="??" w:hAnsi="??" w:cs="宋体"/>
      <w:color w:val="000000"/>
    </w:rPr>
  </w:style>
  <w:style w:type="character" w:customStyle="1" w:styleId="Charf1">
    <w:name w:val="报告脚注 Char"/>
    <w:link w:val="aff7"/>
    <w:locked/>
    <w:rsid w:val="007A3D61"/>
    <w:rPr>
      <w:rFonts w:ascii="??" w:eastAsia="宋体" w:hAnsi="??" w:cs="宋体"/>
      <w:color w:val="000000"/>
      <w:kern w:val="2"/>
      <w:sz w:val="18"/>
      <w:szCs w:val="18"/>
      <w:lang w:val="en-US" w:eastAsia="zh-CN" w:bidi="ar-SA"/>
    </w:rPr>
  </w:style>
  <w:style w:type="paragraph" w:customStyle="1" w:styleId="p0">
    <w:name w:val="p0"/>
    <w:basedOn w:val="a"/>
    <w:rsid w:val="00956669"/>
    <w:pPr>
      <w:widowControl/>
    </w:pPr>
    <w:rPr>
      <w:kern w:val="0"/>
      <w:szCs w:val="21"/>
    </w:rPr>
  </w:style>
  <w:style w:type="paragraph" w:customStyle="1" w:styleId="Char10">
    <w:name w:val="Char1"/>
    <w:basedOn w:val="a"/>
    <w:rsid w:val="00947CF4"/>
    <w:rPr>
      <w:rFonts w:ascii="Tahoma" w:hAnsi="Tahoma"/>
      <w:sz w:val="24"/>
      <w:szCs w:val="20"/>
    </w:rPr>
  </w:style>
  <w:style w:type="character" w:customStyle="1" w:styleId="tableheadChar">
    <w:name w:val="table_head Char"/>
    <w:link w:val="tablehead"/>
    <w:rsid w:val="00377CA0"/>
    <w:rPr>
      <w:b/>
      <w:color w:val="FFFFFF"/>
      <w:kern w:val="2"/>
      <w:sz w:val="18"/>
      <w:szCs w:val="18"/>
    </w:rPr>
  </w:style>
  <w:style w:type="paragraph" w:customStyle="1" w:styleId="tablehead">
    <w:name w:val="table_head"/>
    <w:basedOn w:val="a"/>
    <w:link w:val="tableheadChar"/>
    <w:qFormat/>
    <w:rsid w:val="00377CA0"/>
    <w:pPr>
      <w:spacing w:line="300" w:lineRule="auto"/>
      <w:jc w:val="center"/>
    </w:pPr>
    <w:rPr>
      <w:b/>
      <w:color w:val="FFFFFF"/>
      <w:sz w:val="18"/>
      <w:szCs w:val="18"/>
      <w:lang w:val="x-none" w:eastAsia="x-none"/>
    </w:rPr>
  </w:style>
  <w:style w:type="paragraph" w:customStyle="1" w:styleId="CharCharCharCharCharCharChar">
    <w:name w:val="Char Char Char Char Char Char Char"/>
    <w:basedOn w:val="a"/>
    <w:rsid w:val="00480E47"/>
    <w:rPr>
      <w:szCs w:val="21"/>
    </w:rPr>
  </w:style>
  <w:style w:type="character" w:customStyle="1" w:styleId="PlainTextChar">
    <w:name w:val="Plain Text Char"/>
    <w:aliases w:val="Char Char,普通文字 Char, Char Char Char Char Char Char1"/>
    <w:locked/>
    <w:rsid w:val="001C0E8F"/>
    <w:rPr>
      <w:rFonts w:ascii="宋体" w:hAnsi="Courier New" w:cs="Times New Roman"/>
      <w:sz w:val="21"/>
    </w:rPr>
  </w:style>
  <w:style w:type="paragraph" w:customStyle="1" w:styleId="10">
    <w:name w:val="1"/>
    <w:basedOn w:val="a"/>
    <w:rsid w:val="001C0E8F"/>
    <w:pPr>
      <w:widowControl/>
      <w:spacing w:after="160" w:line="240" w:lineRule="exact"/>
      <w:jc w:val="left"/>
    </w:pPr>
    <w:rPr>
      <w:rFonts w:ascii="Verdana" w:hAnsi="Verdana"/>
      <w:kern w:val="0"/>
      <w:sz w:val="20"/>
      <w:szCs w:val="20"/>
      <w:lang w:eastAsia="en-US"/>
    </w:rPr>
  </w:style>
  <w:style w:type="paragraph" w:customStyle="1" w:styleId="12">
    <w:name w:val="列出段落1"/>
    <w:basedOn w:val="a"/>
    <w:rsid w:val="001C0E8F"/>
    <w:pPr>
      <w:ind w:firstLineChars="200" w:firstLine="420"/>
    </w:pPr>
  </w:style>
  <w:style w:type="paragraph" w:customStyle="1" w:styleId="2Char0">
    <w:name w:val="2 Char"/>
    <w:basedOn w:val="a"/>
    <w:rsid w:val="001C0E8F"/>
    <w:pPr>
      <w:widowControl/>
      <w:spacing w:after="160" w:line="240" w:lineRule="exact"/>
      <w:jc w:val="left"/>
    </w:pPr>
    <w:rPr>
      <w:rFonts w:ascii="Verdana" w:hAnsi="Verdana"/>
      <w:kern w:val="0"/>
      <w:sz w:val="20"/>
      <w:szCs w:val="20"/>
      <w:lang w:eastAsia="en-US"/>
    </w:rPr>
  </w:style>
  <w:style w:type="table" w:customStyle="1" w:styleId="13">
    <w:name w:val="网格型1"/>
    <w:rsid w:val="001C0E8F"/>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f2">
    <w:name w:val="募集正文 Char"/>
    <w:link w:val="aff8"/>
    <w:locked/>
    <w:rsid w:val="001C0E8F"/>
    <w:rPr>
      <w:rFonts w:ascii="楷体_GB2312" w:eastAsia="楷体_GB2312"/>
      <w:sz w:val="24"/>
    </w:rPr>
  </w:style>
  <w:style w:type="paragraph" w:customStyle="1" w:styleId="aff8">
    <w:name w:val="募集正文"/>
    <w:basedOn w:val="aff9"/>
    <w:link w:val="Charf2"/>
    <w:rsid w:val="001C0E8F"/>
    <w:pPr>
      <w:spacing w:line="288" w:lineRule="auto"/>
      <w:ind w:firstLine="200"/>
    </w:pPr>
    <w:rPr>
      <w:rFonts w:ascii="楷体_GB2312" w:eastAsia="楷体_GB2312"/>
      <w:kern w:val="0"/>
      <w:sz w:val="24"/>
      <w:szCs w:val="20"/>
      <w:lang w:val="x-none" w:eastAsia="x-none"/>
    </w:rPr>
  </w:style>
  <w:style w:type="paragraph" w:styleId="aff9">
    <w:name w:val="Normal Indent"/>
    <w:aliases w:val="表正文,正文非缩进"/>
    <w:basedOn w:val="a"/>
    <w:rsid w:val="001C0E8F"/>
    <w:pPr>
      <w:ind w:firstLineChars="200" w:firstLine="420"/>
    </w:pPr>
  </w:style>
  <w:style w:type="paragraph" w:customStyle="1" w:styleId="CharCharCharCharCharChar2">
    <w:name w:val="Char Char Char Char Char Char2"/>
    <w:basedOn w:val="a"/>
    <w:rsid w:val="001C0E8F"/>
    <w:pPr>
      <w:widowControl/>
      <w:spacing w:after="160" w:line="240" w:lineRule="exact"/>
      <w:ind w:leftChars="27" w:left="27" w:rightChars="200" w:right="200" w:firstLineChars="200" w:firstLine="200"/>
      <w:jc w:val="left"/>
    </w:pPr>
    <w:rPr>
      <w:rFonts w:ascii="Arial" w:hAnsi="Arial" w:cs="Arial"/>
      <w:b/>
      <w:bCs/>
      <w:kern w:val="0"/>
      <w:sz w:val="24"/>
      <w:szCs w:val="22"/>
      <w:lang w:eastAsia="en-US"/>
    </w:rPr>
  </w:style>
  <w:style w:type="character" w:customStyle="1" w:styleId="st">
    <w:name w:val="st"/>
    <w:rsid w:val="001C0E8F"/>
  </w:style>
  <w:style w:type="table" w:styleId="14">
    <w:name w:val="Table Simple 1"/>
    <w:basedOn w:val="a1"/>
    <w:rsid w:val="001C0E8F"/>
    <w:pPr>
      <w:widowControl w:val="0"/>
      <w:jc w:val="both"/>
    </w:p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character" w:customStyle="1" w:styleId="CharChar2">
    <w:name w:val="Char Char2"/>
    <w:aliases w:val="Char Char Char Char Char Char11,普通文字 Char Char"/>
    <w:rsid w:val="001C0E8F"/>
    <w:rPr>
      <w:rFonts w:ascii="Courier New" w:eastAsia="宋体" w:hAnsi="Courier New"/>
      <w:kern w:val="2"/>
      <w:sz w:val="21"/>
      <w:lang w:val="en-US" w:eastAsia="zh-CN"/>
    </w:rPr>
  </w:style>
  <w:style w:type="character" w:customStyle="1" w:styleId="f14px1">
    <w:name w:val="f14px1"/>
    <w:rsid w:val="001C0E8F"/>
    <w:rPr>
      <w:color w:val="000000"/>
      <w:sz w:val="14"/>
    </w:rPr>
  </w:style>
  <w:style w:type="character" w:customStyle="1" w:styleId="xmsp">
    <w:name w:val="xmsp"/>
    <w:rsid w:val="001C0E8F"/>
  </w:style>
  <w:style w:type="paragraph" w:customStyle="1" w:styleId="affa">
    <w:name w:val="表"/>
    <w:next w:val="a"/>
    <w:link w:val="Charf3"/>
    <w:autoRedefine/>
    <w:rsid w:val="001C0E8F"/>
    <w:pPr>
      <w:pBdr>
        <w:between w:val="dashSmallGap" w:sz="4" w:space="1" w:color="666699"/>
      </w:pBdr>
      <w:adjustRightInd w:val="0"/>
      <w:snapToGrid w:val="0"/>
      <w:jc w:val="center"/>
      <w:textAlignment w:val="center"/>
    </w:pPr>
    <w:rPr>
      <w:rFonts w:ascii="仿宋_GB2312" w:eastAsia="仿宋_GB2312" w:hAnsi="华文细黑"/>
      <w:sz w:val="22"/>
    </w:rPr>
  </w:style>
  <w:style w:type="character" w:customStyle="1" w:styleId="Charf3">
    <w:name w:val="表 Char"/>
    <w:link w:val="affa"/>
    <w:locked/>
    <w:rsid w:val="001C0E8F"/>
    <w:rPr>
      <w:rFonts w:ascii="仿宋_GB2312" w:eastAsia="仿宋_GB2312" w:hAnsi="华文细黑"/>
      <w:sz w:val="22"/>
      <w:lang w:bidi="ar-SA"/>
    </w:rPr>
  </w:style>
  <w:style w:type="character" w:styleId="affb">
    <w:name w:val="Strong"/>
    <w:qFormat/>
    <w:locked/>
    <w:rsid w:val="001C0E8F"/>
    <w:rPr>
      <w:rFonts w:cs="Times New Roman"/>
      <w:b/>
    </w:rPr>
  </w:style>
  <w:style w:type="paragraph" w:customStyle="1" w:styleId="CharCharCharChar">
    <w:name w:val="Char Char Char Char"/>
    <w:basedOn w:val="a"/>
    <w:rsid w:val="001C0E8F"/>
    <w:rPr>
      <w:szCs w:val="20"/>
    </w:rPr>
  </w:style>
  <w:style w:type="paragraph" w:customStyle="1" w:styleId="statement">
    <w:name w:val="statement"/>
    <w:basedOn w:val="a"/>
    <w:link w:val="statementChar"/>
    <w:qFormat/>
    <w:rsid w:val="001C0E8F"/>
    <w:pPr>
      <w:spacing w:beforeLines="50" w:afterLines="50"/>
      <w:ind w:leftChars="202" w:left="424" w:rightChars="201" w:right="422"/>
    </w:pPr>
    <w:rPr>
      <w:rFonts w:eastAsia="黑体"/>
      <w:b/>
      <w:kern w:val="0"/>
      <w:sz w:val="20"/>
      <w:szCs w:val="20"/>
      <w:lang w:val="x-none" w:eastAsia="x-none"/>
    </w:rPr>
  </w:style>
  <w:style w:type="character" w:customStyle="1" w:styleId="statementChar">
    <w:name w:val="statement Char"/>
    <w:link w:val="statement"/>
    <w:locked/>
    <w:rsid w:val="001C0E8F"/>
    <w:rPr>
      <w:rFonts w:eastAsia="黑体"/>
      <w:b/>
      <w:lang w:val="x-none" w:eastAsia="x-none"/>
    </w:rPr>
  </w:style>
  <w:style w:type="paragraph" w:customStyle="1" w:styleId="body">
    <w:name w:val="body"/>
    <w:basedOn w:val="a"/>
    <w:link w:val="bodyChar"/>
    <w:qFormat/>
    <w:rsid w:val="001C0E8F"/>
    <w:pPr>
      <w:spacing w:line="300" w:lineRule="auto"/>
      <w:ind w:leftChars="202" w:left="424" w:rightChars="201" w:right="422" w:firstLineChars="200" w:firstLine="420"/>
    </w:pPr>
    <w:rPr>
      <w:color w:val="000000"/>
      <w:kern w:val="0"/>
      <w:sz w:val="20"/>
      <w:szCs w:val="20"/>
      <w:lang w:val="x-none" w:eastAsia="x-none"/>
    </w:rPr>
  </w:style>
  <w:style w:type="character" w:customStyle="1" w:styleId="bodyChar">
    <w:name w:val="body Char"/>
    <w:link w:val="body"/>
    <w:locked/>
    <w:rsid w:val="001C0E8F"/>
    <w:rPr>
      <w:color w:val="000000"/>
      <w:lang w:val="x-none" w:eastAsia="x-none"/>
    </w:rPr>
  </w:style>
  <w:style w:type="paragraph" w:styleId="20">
    <w:name w:val="Body Text 2"/>
    <w:basedOn w:val="a"/>
    <w:link w:val="2Char1"/>
    <w:rsid w:val="001C0E8F"/>
    <w:pPr>
      <w:spacing w:after="120" w:line="480" w:lineRule="auto"/>
    </w:pPr>
    <w:rPr>
      <w:kern w:val="0"/>
      <w:sz w:val="20"/>
      <w:szCs w:val="20"/>
      <w:lang w:val="x-none" w:eastAsia="x-none"/>
    </w:rPr>
  </w:style>
  <w:style w:type="character" w:customStyle="1" w:styleId="2Char1">
    <w:name w:val="正文文本 2 Char"/>
    <w:link w:val="20"/>
    <w:rsid w:val="001C0E8F"/>
    <w:rPr>
      <w:lang w:val="x-none" w:eastAsia="x-none"/>
    </w:rPr>
  </w:style>
  <w:style w:type="character" w:customStyle="1" w:styleId="CharChar19">
    <w:name w:val="Char Char19"/>
    <w:rsid w:val="001C0E8F"/>
    <w:rPr>
      <w:rFonts w:ascii="Calibri" w:eastAsia="宋体" w:hAnsi="Calibri"/>
      <w:sz w:val="18"/>
    </w:rPr>
  </w:style>
  <w:style w:type="character" w:customStyle="1" w:styleId="CharChar18">
    <w:name w:val="Char Char18"/>
    <w:rsid w:val="001C0E8F"/>
    <w:rPr>
      <w:rFonts w:ascii="Calibri" w:eastAsia="宋体" w:hAnsi="Calibri"/>
      <w:sz w:val="18"/>
    </w:rPr>
  </w:style>
  <w:style w:type="character" w:customStyle="1" w:styleId="CharChar17">
    <w:name w:val="Char Char17"/>
    <w:rsid w:val="001C0E8F"/>
    <w:rPr>
      <w:rFonts w:ascii="Calibri" w:eastAsia="宋体" w:hAnsi="Calibri"/>
      <w:kern w:val="2"/>
      <w:sz w:val="22"/>
      <w:lang w:val="en-US" w:eastAsia="zh-CN"/>
    </w:rPr>
  </w:style>
  <w:style w:type="character" w:customStyle="1" w:styleId="CharChar16">
    <w:name w:val="Char Char16"/>
    <w:rsid w:val="001C0E8F"/>
    <w:rPr>
      <w:rFonts w:eastAsia="宋体"/>
      <w:kern w:val="2"/>
      <w:sz w:val="18"/>
      <w:lang w:val="en-US" w:eastAsia="zh-CN"/>
    </w:rPr>
  </w:style>
  <w:style w:type="character" w:customStyle="1" w:styleId="CharChar15">
    <w:name w:val="Char Char15"/>
    <w:rsid w:val="001C0E8F"/>
    <w:rPr>
      <w:rFonts w:ascii="Calibri" w:eastAsia="宋体" w:hAnsi="Calibri"/>
      <w:kern w:val="2"/>
      <w:sz w:val="22"/>
      <w:lang w:val="en-US" w:eastAsia="zh-CN"/>
    </w:rPr>
  </w:style>
  <w:style w:type="paragraph" w:customStyle="1" w:styleId="15">
    <w:name w:val="报告标题1"/>
    <w:basedOn w:val="1"/>
    <w:next w:val="aff0"/>
    <w:rsid w:val="001C0E8F"/>
    <w:pPr>
      <w:keepNext/>
      <w:keepLines/>
      <w:widowControl w:val="0"/>
      <w:spacing w:before="20" w:beforeAutospacing="0" w:after="10" w:afterAutospacing="0"/>
      <w:ind w:left="2160" w:right="-34"/>
      <w:jc w:val="both"/>
    </w:pPr>
    <w:rPr>
      <w:rFonts w:ascii="Times New Roman" w:eastAsia="黑体" w:hAnsi="Times New Roman" w:cs="Times New Roman"/>
      <w:bCs w:val="0"/>
      <w:color w:val="000000"/>
      <w:kern w:val="40"/>
      <w:sz w:val="32"/>
      <w:szCs w:val="32"/>
      <w:lang w:val="x-none" w:eastAsia="x-none"/>
    </w:rPr>
  </w:style>
  <w:style w:type="paragraph" w:customStyle="1" w:styleId="21">
    <w:name w:val="报告标题 2"/>
    <w:basedOn w:val="2"/>
    <w:next w:val="aff0"/>
    <w:link w:val="2Char2"/>
    <w:rsid w:val="001C0E8F"/>
    <w:pPr>
      <w:keepLines w:val="0"/>
      <w:spacing w:beforeLines="50" w:after="10" w:line="240" w:lineRule="auto"/>
      <w:ind w:left="2160" w:right="-34" w:firstLineChars="200" w:firstLine="442"/>
    </w:pPr>
    <w:rPr>
      <w:rFonts w:ascii="宋体" w:hAnsi="宋体"/>
      <w:bCs w:val="0"/>
      <w:color w:val="000000"/>
      <w:kern w:val="0"/>
      <w:sz w:val="20"/>
      <w:szCs w:val="20"/>
    </w:rPr>
  </w:style>
  <w:style w:type="character" w:customStyle="1" w:styleId="2Char2">
    <w:name w:val="报告标题 2 Char"/>
    <w:link w:val="21"/>
    <w:locked/>
    <w:rsid w:val="001C0E8F"/>
    <w:rPr>
      <w:rFonts w:ascii="宋体" w:hAnsi="宋体"/>
      <w:b/>
      <w:color w:val="000000"/>
      <w:lang w:val="x-none" w:eastAsia="x-none"/>
    </w:rPr>
  </w:style>
  <w:style w:type="paragraph" w:customStyle="1" w:styleId="xl25">
    <w:name w:val="xl25"/>
    <w:basedOn w:val="a"/>
    <w:rsid w:val="001C0E8F"/>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kern w:val="0"/>
      <w:sz w:val="20"/>
      <w:szCs w:val="20"/>
    </w:rPr>
  </w:style>
  <w:style w:type="paragraph" w:customStyle="1" w:styleId="xl39">
    <w:name w:val="xl39"/>
    <w:basedOn w:val="a"/>
    <w:rsid w:val="001C0E8F"/>
    <w:pPr>
      <w:widowControl/>
      <w:pBdr>
        <w:bottom w:val="single" w:sz="4" w:space="0" w:color="auto"/>
        <w:right w:val="single" w:sz="4" w:space="0" w:color="auto"/>
      </w:pBdr>
      <w:spacing w:before="100" w:beforeAutospacing="1" w:after="100" w:afterAutospacing="1"/>
      <w:jc w:val="right"/>
    </w:pPr>
    <w:rPr>
      <w:kern w:val="0"/>
      <w:szCs w:val="21"/>
    </w:rPr>
  </w:style>
  <w:style w:type="paragraph" w:styleId="z-">
    <w:name w:val="HTML Bottom of Form"/>
    <w:basedOn w:val="a"/>
    <w:next w:val="a"/>
    <w:link w:val="z-Char"/>
    <w:hidden/>
    <w:rsid w:val="001C0E8F"/>
    <w:pPr>
      <w:widowControl/>
      <w:pBdr>
        <w:top w:val="single" w:sz="6" w:space="1" w:color="auto"/>
      </w:pBdr>
      <w:jc w:val="center"/>
    </w:pPr>
    <w:rPr>
      <w:rFonts w:ascii="Arial" w:hAnsi="Arial"/>
      <w:vanish/>
      <w:kern w:val="0"/>
      <w:sz w:val="20"/>
      <w:szCs w:val="20"/>
      <w:lang w:val="x-none" w:eastAsia="x-none"/>
    </w:rPr>
  </w:style>
  <w:style w:type="character" w:customStyle="1" w:styleId="z-Char">
    <w:name w:val="z-窗体底端 Char"/>
    <w:link w:val="z-"/>
    <w:rsid w:val="001C0E8F"/>
    <w:rPr>
      <w:rFonts w:ascii="Arial" w:hAnsi="Arial"/>
      <w:vanish/>
      <w:lang w:val="x-none" w:eastAsia="x-none"/>
    </w:rPr>
  </w:style>
  <w:style w:type="character" w:styleId="affc">
    <w:name w:val="FollowedHyperlink"/>
    <w:rsid w:val="001C0E8F"/>
    <w:rPr>
      <w:rFonts w:cs="Times New Roman"/>
      <w:color w:val="800080"/>
      <w:u w:val="single"/>
    </w:rPr>
  </w:style>
  <w:style w:type="paragraph" w:styleId="22">
    <w:name w:val="Body Text Indent 2"/>
    <w:basedOn w:val="a"/>
    <w:link w:val="2Char3"/>
    <w:rsid w:val="001C0E8F"/>
    <w:pPr>
      <w:spacing w:line="320" w:lineRule="exact"/>
      <w:ind w:left="210" w:hangingChars="100" w:hanging="210"/>
    </w:pPr>
    <w:rPr>
      <w:rFonts w:ascii="宋体" w:hAnsi="宋体"/>
      <w:kern w:val="0"/>
      <w:sz w:val="20"/>
      <w:szCs w:val="20"/>
      <w:lang w:val="x-none" w:eastAsia="x-none"/>
    </w:rPr>
  </w:style>
  <w:style w:type="character" w:customStyle="1" w:styleId="2Char3">
    <w:name w:val="正文文本缩进 2 Char"/>
    <w:link w:val="22"/>
    <w:rsid w:val="001C0E8F"/>
    <w:rPr>
      <w:rFonts w:ascii="宋体" w:hAnsi="宋体"/>
      <w:lang w:val="x-none" w:eastAsia="x-none"/>
    </w:rPr>
  </w:style>
  <w:style w:type="paragraph" w:customStyle="1" w:styleId="23">
    <w:name w:val="债券标题2"/>
    <w:basedOn w:val="2"/>
    <w:next w:val="aff0"/>
    <w:rsid w:val="001C0E8F"/>
    <w:pPr>
      <w:spacing w:before="0" w:after="0" w:line="360" w:lineRule="auto"/>
    </w:pPr>
    <w:rPr>
      <w:rFonts w:ascii="Times New Roman" w:eastAsia="楷体_GB2312" w:hAnsi="Times New Roman"/>
      <w:bCs w:val="0"/>
      <w:kern w:val="0"/>
      <w:sz w:val="30"/>
      <w:szCs w:val="20"/>
      <w:shd w:val="pct15" w:color="auto" w:fill="FFFFFF"/>
    </w:rPr>
  </w:style>
  <w:style w:type="paragraph" w:customStyle="1" w:styleId="font5">
    <w:name w:val="font5"/>
    <w:basedOn w:val="a"/>
    <w:rsid w:val="001C0E8F"/>
    <w:pPr>
      <w:widowControl/>
      <w:spacing w:before="100" w:beforeAutospacing="1" w:after="100" w:afterAutospacing="1"/>
      <w:jc w:val="left"/>
    </w:pPr>
    <w:rPr>
      <w:rFonts w:eastAsia="Arial Unicode MS"/>
      <w:b/>
      <w:bCs/>
      <w:kern w:val="0"/>
      <w:szCs w:val="21"/>
    </w:rPr>
  </w:style>
  <w:style w:type="paragraph" w:customStyle="1" w:styleId="CM3">
    <w:name w:val="CM3"/>
    <w:basedOn w:val="Default"/>
    <w:next w:val="Default"/>
    <w:rsid w:val="001C0E8F"/>
    <w:pPr>
      <w:spacing w:line="548" w:lineRule="atLeast"/>
    </w:pPr>
    <w:rPr>
      <w:rFonts w:ascii="oúì." w:eastAsia="oúì."/>
      <w:color w:val="auto"/>
    </w:rPr>
  </w:style>
  <w:style w:type="paragraph" w:customStyle="1" w:styleId="CM6">
    <w:name w:val="CM6"/>
    <w:basedOn w:val="Default"/>
    <w:next w:val="Default"/>
    <w:rsid w:val="001C0E8F"/>
    <w:pPr>
      <w:spacing w:line="546" w:lineRule="atLeast"/>
    </w:pPr>
    <w:rPr>
      <w:rFonts w:ascii="oúì." w:eastAsia="oúì."/>
      <w:color w:val="auto"/>
    </w:rPr>
  </w:style>
  <w:style w:type="paragraph" w:customStyle="1" w:styleId="xl38">
    <w:name w:val="xl38"/>
    <w:basedOn w:val="a"/>
    <w:rsid w:val="001C0E8F"/>
    <w:pPr>
      <w:widowControl/>
      <w:pBdr>
        <w:bottom w:val="single" w:sz="4" w:space="0" w:color="auto"/>
        <w:right w:val="single" w:sz="4" w:space="0" w:color="auto"/>
      </w:pBdr>
      <w:spacing w:before="100" w:beforeAutospacing="1" w:after="100" w:afterAutospacing="1"/>
      <w:jc w:val="right"/>
    </w:pPr>
    <w:rPr>
      <w:kern w:val="0"/>
      <w:szCs w:val="21"/>
    </w:rPr>
  </w:style>
  <w:style w:type="character" w:customStyle="1" w:styleId="da">
    <w:name w:val="da"/>
    <w:rsid w:val="001C0E8F"/>
  </w:style>
  <w:style w:type="paragraph" w:customStyle="1" w:styleId="affd">
    <w:name w:val="晖格式"/>
    <w:basedOn w:val="a"/>
    <w:rsid w:val="001C0E8F"/>
    <w:pPr>
      <w:spacing w:line="360" w:lineRule="auto"/>
      <w:ind w:firstLine="420"/>
    </w:pPr>
    <w:rPr>
      <w:rFonts w:cs="宋体"/>
      <w:szCs w:val="20"/>
    </w:rPr>
  </w:style>
  <w:style w:type="paragraph" w:customStyle="1" w:styleId="16">
    <w:name w:val="纯文本1"/>
    <w:basedOn w:val="a"/>
    <w:rsid w:val="001C0E8F"/>
    <w:pPr>
      <w:autoSpaceDE w:val="0"/>
      <w:autoSpaceDN w:val="0"/>
      <w:adjustRightInd w:val="0"/>
      <w:textAlignment w:val="baseline"/>
    </w:pPr>
    <w:rPr>
      <w:kern w:val="0"/>
      <w:szCs w:val="20"/>
    </w:rPr>
  </w:style>
  <w:style w:type="paragraph" w:styleId="affe">
    <w:name w:val="Body Text"/>
    <w:basedOn w:val="a"/>
    <w:link w:val="Charf4"/>
    <w:rsid w:val="001C0E8F"/>
    <w:pPr>
      <w:spacing w:after="120"/>
    </w:pPr>
    <w:rPr>
      <w:kern w:val="0"/>
      <w:sz w:val="20"/>
      <w:szCs w:val="20"/>
      <w:lang w:val="x-none" w:eastAsia="x-none"/>
    </w:rPr>
  </w:style>
  <w:style w:type="character" w:customStyle="1" w:styleId="Charf4">
    <w:name w:val="正文文本 Char"/>
    <w:link w:val="affe"/>
    <w:rsid w:val="001C0E8F"/>
    <w:rPr>
      <w:lang w:val="x-none" w:eastAsia="x-none"/>
    </w:rPr>
  </w:style>
  <w:style w:type="paragraph" w:customStyle="1" w:styleId="q1">
    <w:name w:val="q.表格段落1"/>
    <w:basedOn w:val="a"/>
    <w:rsid w:val="001C0E8F"/>
    <w:pPr>
      <w:framePr w:wrap="notBeside" w:vAnchor="text" w:hAnchor="text" w:y="1"/>
    </w:pPr>
    <w:rPr>
      <w:rFonts w:ascii="幼圆" w:eastAsia="幼圆" w:hAnsi="宋体"/>
      <w:color w:val="000000"/>
      <w:sz w:val="18"/>
    </w:rPr>
  </w:style>
  <w:style w:type="paragraph" w:customStyle="1" w:styleId="afff">
    <w:name w:val="a"/>
    <w:basedOn w:val="a"/>
    <w:rsid w:val="001C0E8F"/>
    <w:pPr>
      <w:widowControl/>
      <w:spacing w:before="100" w:beforeAutospacing="1" w:after="100" w:afterAutospacing="1"/>
      <w:jc w:val="left"/>
    </w:pPr>
    <w:rPr>
      <w:rFonts w:ascii="宋体" w:hAnsi="宋体"/>
      <w:kern w:val="0"/>
      <w:sz w:val="24"/>
    </w:rPr>
  </w:style>
  <w:style w:type="character" w:customStyle="1" w:styleId="txtcontent11">
    <w:name w:val="txtcontent11"/>
    <w:rsid w:val="001C0E8F"/>
    <w:rPr>
      <w:rFonts w:ascii="??" w:hAnsi="??"/>
      <w:color w:val="000000"/>
      <w:sz w:val="21"/>
    </w:rPr>
  </w:style>
  <w:style w:type="paragraph" w:customStyle="1" w:styleId="CharCharCharCharCharCharCharCharCharCharCharCharChar">
    <w:name w:val="Char Char Char Char Char Char Char Char Char Char Char Char Char"/>
    <w:basedOn w:val="a"/>
    <w:rsid w:val="001C0E8F"/>
    <w:pPr>
      <w:snapToGrid w:val="0"/>
      <w:spacing w:line="360" w:lineRule="auto"/>
      <w:ind w:firstLineChars="200" w:firstLine="200"/>
    </w:pPr>
    <w:rPr>
      <w:rFonts w:eastAsia="仿宋_GB2312"/>
      <w:sz w:val="24"/>
    </w:rPr>
  </w:style>
  <w:style w:type="paragraph" w:customStyle="1" w:styleId="17">
    <w:name w:val="正文文本缩进1"/>
    <w:basedOn w:val="a"/>
    <w:rsid w:val="001C0E8F"/>
    <w:pPr>
      <w:spacing w:beforeLines="100" w:line="360" w:lineRule="auto"/>
      <w:ind w:firstLineChars="200" w:firstLine="440"/>
    </w:pPr>
    <w:rPr>
      <w:rFonts w:ascii="宋体" w:hAnsi="宋体"/>
      <w:sz w:val="22"/>
      <w:szCs w:val="22"/>
    </w:rPr>
  </w:style>
  <w:style w:type="paragraph" w:customStyle="1" w:styleId="CharCharChar1CharCharCharChar">
    <w:name w:val="Char Char Char1 Char Char Char Char"/>
    <w:basedOn w:val="a"/>
    <w:rsid w:val="001C0E8F"/>
    <w:pPr>
      <w:snapToGrid w:val="0"/>
      <w:spacing w:line="360" w:lineRule="auto"/>
      <w:ind w:firstLineChars="200" w:firstLine="200"/>
    </w:pPr>
    <w:rPr>
      <w:rFonts w:eastAsia="仿宋_GB2312"/>
      <w:sz w:val="24"/>
    </w:rPr>
  </w:style>
  <w:style w:type="paragraph" w:customStyle="1" w:styleId="CharChar1CharCharCharCharCharCharCharChar">
    <w:name w:val="Char Char1 Char Char Char Char Char Char Char Char"/>
    <w:basedOn w:val="a"/>
    <w:rsid w:val="001C0E8F"/>
    <w:pPr>
      <w:adjustRightInd w:val="0"/>
      <w:spacing w:after="160" w:line="240" w:lineRule="exact"/>
    </w:pPr>
    <w:rPr>
      <w:rFonts w:ascii="Verdana" w:hAnsi="Verdana"/>
      <w:kern w:val="0"/>
      <w:sz w:val="20"/>
      <w:szCs w:val="20"/>
      <w:lang w:eastAsia="en-US"/>
    </w:rPr>
  </w:style>
  <w:style w:type="paragraph" w:styleId="31">
    <w:name w:val="Body Text 3"/>
    <w:basedOn w:val="a"/>
    <w:link w:val="3Char1"/>
    <w:rsid w:val="001C0E8F"/>
    <w:pPr>
      <w:jc w:val="center"/>
    </w:pPr>
    <w:rPr>
      <w:rFonts w:ascii="黑体" w:eastAsia="黑体"/>
      <w:color w:val="000080"/>
      <w:kern w:val="0"/>
      <w:sz w:val="20"/>
      <w:szCs w:val="20"/>
      <w:lang w:val="x-none" w:eastAsia="x-none"/>
    </w:rPr>
  </w:style>
  <w:style w:type="character" w:customStyle="1" w:styleId="3Char1">
    <w:name w:val="正文文本 3 Char"/>
    <w:link w:val="31"/>
    <w:rsid w:val="001C0E8F"/>
    <w:rPr>
      <w:rFonts w:ascii="黑体" w:eastAsia="黑体"/>
      <w:color w:val="000080"/>
      <w:lang w:val="x-none" w:eastAsia="x-none"/>
    </w:rPr>
  </w:style>
  <w:style w:type="paragraph" w:styleId="afff0">
    <w:name w:val="List"/>
    <w:basedOn w:val="a"/>
    <w:rsid w:val="001C0E8F"/>
    <w:pPr>
      <w:spacing w:before="40" w:after="40"/>
      <w:jc w:val="center"/>
    </w:pPr>
    <w:rPr>
      <w:rFonts w:ascii="Century Gothic" w:hAnsi="Century Gothic"/>
      <w:kern w:val="28"/>
      <w:szCs w:val="20"/>
    </w:rPr>
  </w:style>
  <w:style w:type="paragraph" w:customStyle="1" w:styleId="afff1">
    <w:name w:val="简介中文"/>
    <w:basedOn w:val="a"/>
    <w:rsid w:val="001C0E8F"/>
    <w:pPr>
      <w:autoSpaceDE w:val="0"/>
      <w:autoSpaceDN w:val="0"/>
      <w:adjustRightInd w:val="0"/>
      <w:spacing w:before="170" w:afterLines="50"/>
      <w:ind w:firstLine="482"/>
    </w:pPr>
    <w:rPr>
      <w:rFonts w:ascii="汉仪大黑简" w:eastAsia="汉仪大黑简"/>
      <w:color w:val="042040"/>
      <w:kern w:val="0"/>
      <w:sz w:val="28"/>
      <w:szCs w:val="27"/>
    </w:rPr>
  </w:style>
  <w:style w:type="paragraph" w:customStyle="1" w:styleId="afff2">
    <w:name w:val="正文小说明文字"/>
    <w:rsid w:val="001C0E8F"/>
    <w:pPr>
      <w:widowControl w:val="0"/>
      <w:autoSpaceDE w:val="0"/>
      <w:autoSpaceDN w:val="0"/>
      <w:adjustRightInd w:val="0"/>
      <w:spacing w:line="360" w:lineRule="exact"/>
      <w:jc w:val="both"/>
    </w:pPr>
    <w:rPr>
      <w:rFonts w:ascii="汉仪楷体简" w:eastAsia="汉仪楷体简"/>
      <w:color w:val="042040"/>
      <w:sz w:val="21"/>
    </w:rPr>
  </w:style>
  <w:style w:type="paragraph" w:customStyle="1" w:styleId="afff3">
    <w:name w:val="研发资讯左栏部门署名"/>
    <w:basedOn w:val="a"/>
    <w:autoRedefine/>
    <w:rsid w:val="001C0E8F"/>
    <w:pPr>
      <w:spacing w:line="240" w:lineRule="atLeast"/>
      <w:ind w:leftChars="-6" w:left="-13" w:firstLineChars="6" w:firstLine="13"/>
    </w:pPr>
    <w:rPr>
      <w:rFonts w:ascii="黑体" w:eastAsia="黑体" w:hAnsi="宋体"/>
      <w:bCs/>
      <w:color w:val="003366"/>
      <w:szCs w:val="21"/>
    </w:rPr>
  </w:style>
  <w:style w:type="character" w:customStyle="1" w:styleId="articlelink">
    <w:name w:val="articlelink"/>
    <w:rsid w:val="001C0E8F"/>
  </w:style>
  <w:style w:type="character" w:customStyle="1" w:styleId="px14">
    <w:name w:val="px14"/>
    <w:rsid w:val="001C0E8F"/>
  </w:style>
  <w:style w:type="character" w:customStyle="1" w:styleId="ttag">
    <w:name w:val="t_tag"/>
    <w:rsid w:val="001C0E8F"/>
  </w:style>
  <w:style w:type="paragraph" w:customStyle="1" w:styleId="CharCharCharChar1">
    <w:name w:val="Char Char Char Char1"/>
    <w:basedOn w:val="a"/>
    <w:autoRedefine/>
    <w:rsid w:val="001C0E8F"/>
    <w:pPr>
      <w:tabs>
        <w:tab w:val="num" w:pos="840"/>
      </w:tabs>
      <w:adjustRightInd w:val="0"/>
      <w:spacing w:line="360" w:lineRule="atLeast"/>
      <w:ind w:left="840" w:hanging="360"/>
    </w:pPr>
    <w:rPr>
      <w:sz w:val="24"/>
    </w:rPr>
  </w:style>
  <w:style w:type="paragraph" w:customStyle="1" w:styleId="ParaCharCharCharCharCharCharChar">
    <w:name w:val="默认段落字体 Para Char Char Char Char Char Char Char"/>
    <w:basedOn w:val="a"/>
    <w:rsid w:val="001C0E8F"/>
    <w:rPr>
      <w:rFonts w:ascii="Tahoma" w:hAnsi="Tahoma"/>
      <w:sz w:val="24"/>
      <w:szCs w:val="20"/>
    </w:rPr>
  </w:style>
  <w:style w:type="paragraph" w:styleId="afff4">
    <w:name w:val="Body Text First Indent"/>
    <w:basedOn w:val="affe"/>
    <w:link w:val="Charf5"/>
    <w:rsid w:val="001C0E8F"/>
    <w:pPr>
      <w:ind w:firstLineChars="100" w:firstLine="420"/>
    </w:pPr>
  </w:style>
  <w:style w:type="character" w:customStyle="1" w:styleId="Charf5">
    <w:name w:val="正文首行缩进 Char"/>
    <w:link w:val="afff4"/>
    <w:rsid w:val="001C0E8F"/>
    <w:rPr>
      <w:lang w:val="x-none" w:eastAsia="x-none"/>
    </w:rPr>
  </w:style>
  <w:style w:type="paragraph" w:customStyle="1" w:styleId="TableHeadLarge">
    <w:name w:val="_TableHeadLarge"/>
    <w:basedOn w:val="a"/>
    <w:link w:val="TableHeadLargeChar"/>
    <w:rsid w:val="001C0E8F"/>
    <w:pPr>
      <w:keepNext/>
      <w:widowControl/>
      <w:spacing w:before="60" w:after="60"/>
      <w:ind w:right="144"/>
      <w:jc w:val="center"/>
    </w:pPr>
    <w:rPr>
      <w:rFonts w:ascii="Arial" w:eastAsia="SC STKaiti" w:hAnsi="Arial"/>
      <w:b/>
      <w:color w:val="000080"/>
      <w:kern w:val="0"/>
      <w:sz w:val="20"/>
      <w:szCs w:val="20"/>
      <w:lang w:val="x-none" w:eastAsia="x-none"/>
    </w:rPr>
  </w:style>
  <w:style w:type="character" w:customStyle="1" w:styleId="TableHeadLargeChar">
    <w:name w:val="_TableHeadLarge Char"/>
    <w:link w:val="TableHeadLarge"/>
    <w:locked/>
    <w:rsid w:val="001C0E8F"/>
    <w:rPr>
      <w:rFonts w:ascii="Arial" w:eastAsia="SC STKaiti" w:hAnsi="Arial"/>
      <w:b/>
      <w:color w:val="000080"/>
      <w:lang w:val="x-none" w:eastAsia="x-none"/>
    </w:rPr>
  </w:style>
  <w:style w:type="paragraph" w:customStyle="1" w:styleId="9">
    <w:name w:val="9银河_资料来源"/>
    <w:basedOn w:val="a"/>
    <w:rsid w:val="001C0E8F"/>
    <w:pPr>
      <w:spacing w:afterLines="50"/>
    </w:pPr>
    <w:rPr>
      <w:rFonts w:ascii="宋体" w:eastAsia="楷体_GB2312" w:hAnsi="宋体"/>
      <w:i/>
      <w:color w:val="13007C"/>
      <w:sz w:val="16"/>
      <w:szCs w:val="16"/>
    </w:rPr>
  </w:style>
  <w:style w:type="paragraph" w:customStyle="1" w:styleId="5">
    <w:name w:val="5银河_图表标题"/>
    <w:basedOn w:val="a"/>
    <w:link w:val="5Char"/>
    <w:rsid w:val="001C0E8F"/>
    <w:rPr>
      <w:rFonts w:eastAsia="楷体_GB2312"/>
      <w:b/>
      <w:color w:val="13007C"/>
      <w:kern w:val="0"/>
      <w:sz w:val="20"/>
      <w:szCs w:val="20"/>
      <w:lang w:val="x-none" w:eastAsia="x-none"/>
    </w:rPr>
  </w:style>
  <w:style w:type="character" w:customStyle="1" w:styleId="5Char">
    <w:name w:val="5银河_图表标题 Char"/>
    <w:link w:val="5"/>
    <w:locked/>
    <w:rsid w:val="001C0E8F"/>
    <w:rPr>
      <w:rFonts w:eastAsia="楷体_GB2312"/>
      <w:b/>
      <w:color w:val="13007C"/>
      <w:lang w:val="x-none" w:eastAsia="x-none"/>
    </w:rPr>
  </w:style>
  <w:style w:type="character" w:customStyle="1" w:styleId="210">
    <w:name w:val="报告标题 21"/>
    <w:rsid w:val="001C0E8F"/>
  </w:style>
  <w:style w:type="paragraph" w:customStyle="1" w:styleId="CharCharCharCharCharCharCharCharCharCharCharChar">
    <w:name w:val="Char Char Char Char Char Char Char Char Char Char Char Char"/>
    <w:basedOn w:val="a"/>
    <w:rsid w:val="001C0E8F"/>
    <w:pPr>
      <w:widowControl/>
      <w:spacing w:after="160" w:line="240" w:lineRule="exact"/>
    </w:pPr>
    <w:rPr>
      <w:rFonts w:ascii="Verdana" w:hAnsi="Verdana" w:cs="Arial"/>
      <w:kern w:val="0"/>
      <w:sz w:val="22"/>
      <w:szCs w:val="20"/>
      <w:lang w:eastAsia="en-US"/>
    </w:rPr>
  </w:style>
  <w:style w:type="character" w:customStyle="1" w:styleId="CharChar14">
    <w:name w:val="Char Char14"/>
    <w:rsid w:val="001C0E8F"/>
    <w:rPr>
      <w:rFonts w:eastAsia="宋体"/>
      <w:kern w:val="2"/>
      <w:sz w:val="24"/>
      <w:lang w:val="en-US" w:eastAsia="zh-CN"/>
    </w:rPr>
  </w:style>
  <w:style w:type="paragraph" w:customStyle="1" w:styleId="CharCharChar1CharCharCharChar1">
    <w:name w:val="Char Char Char1 Char Char Char Char1"/>
    <w:basedOn w:val="a"/>
    <w:rsid w:val="001C0E8F"/>
    <w:pPr>
      <w:snapToGrid w:val="0"/>
      <w:spacing w:line="360" w:lineRule="auto"/>
      <w:ind w:firstLineChars="200" w:firstLine="200"/>
    </w:pPr>
    <w:rPr>
      <w:rFonts w:eastAsia="仿宋_GB2312"/>
      <w:sz w:val="24"/>
    </w:rPr>
  </w:style>
  <w:style w:type="character" w:customStyle="1" w:styleId="18">
    <w:name w:val="占位符文本1"/>
    <w:semiHidden/>
    <w:rsid w:val="001C0E8F"/>
    <w:rPr>
      <w:rFonts w:cs="Times New Roman"/>
      <w:color w:val="808080"/>
    </w:rPr>
  </w:style>
  <w:style w:type="paragraph" w:customStyle="1" w:styleId="CharCharCharChar1CharCharCharCharCharChar1">
    <w:name w:val="Char Char Char Char1 Char Char Char Char Char Char1"/>
    <w:basedOn w:val="a"/>
    <w:rsid w:val="001C0E8F"/>
    <w:rPr>
      <w:rFonts w:ascii="Tahoma" w:hAnsi="Tahoma"/>
      <w:sz w:val="24"/>
      <w:szCs w:val="20"/>
    </w:rPr>
  </w:style>
  <w:style w:type="paragraph" w:customStyle="1" w:styleId="CharCharCharChar1CharCharCharCharCharChar11">
    <w:name w:val="Char Char Char Char1 Char Char Char Char Char Char11"/>
    <w:basedOn w:val="a"/>
    <w:rsid w:val="001C0E8F"/>
    <w:rPr>
      <w:rFonts w:ascii="Tahoma" w:hAnsi="Tahoma"/>
      <w:sz w:val="24"/>
      <w:szCs w:val="20"/>
    </w:rPr>
  </w:style>
  <w:style w:type="paragraph" w:customStyle="1" w:styleId="19">
    <w:name w:val="修订1"/>
    <w:hidden/>
    <w:semiHidden/>
    <w:rsid w:val="001C0E8F"/>
    <w:rPr>
      <w:kern w:val="2"/>
      <w:sz w:val="21"/>
      <w:szCs w:val="24"/>
    </w:rPr>
  </w:style>
  <w:style w:type="paragraph" w:customStyle="1" w:styleId="1a">
    <w:name w:val="列出段落1"/>
    <w:basedOn w:val="a"/>
    <w:rsid w:val="001C0E8F"/>
    <w:pPr>
      <w:ind w:firstLineChars="200" w:firstLine="420"/>
    </w:pPr>
    <w:rPr>
      <w:rFonts w:ascii="Calibri" w:hAnsi="Calibri"/>
      <w:szCs w:val="22"/>
    </w:rPr>
  </w:style>
  <w:style w:type="table" w:customStyle="1" w:styleId="-51">
    <w:name w:val="浅色底纹 - 强调文字颜色 51"/>
    <w:rsid w:val="001C0E8F"/>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paragraph" w:customStyle="1" w:styleId="1b">
    <w:name w:val="修订1"/>
    <w:hidden/>
    <w:semiHidden/>
    <w:rsid w:val="001C0E8F"/>
    <w:rPr>
      <w:kern w:val="2"/>
      <w:sz w:val="21"/>
      <w:szCs w:val="24"/>
    </w:rPr>
  </w:style>
  <w:style w:type="character" w:customStyle="1" w:styleId="CharChar">
    <w:name w:val="报告观点 Char Char"/>
    <w:rsid w:val="001C0E8F"/>
    <w:rPr>
      <w:rFonts w:eastAsia="黑体"/>
      <w:b/>
      <w:kern w:val="2"/>
      <w:sz w:val="21"/>
    </w:rPr>
  </w:style>
  <w:style w:type="paragraph" w:styleId="afff5">
    <w:name w:val="Revision"/>
    <w:hidden/>
    <w:uiPriority w:val="99"/>
    <w:semiHidden/>
    <w:rsid w:val="001C0E8F"/>
    <w:rPr>
      <w:kern w:val="2"/>
      <w:sz w:val="21"/>
      <w:szCs w:val="24"/>
    </w:rPr>
  </w:style>
  <w:style w:type="character" w:customStyle="1" w:styleId="apple-converted-space">
    <w:name w:val="apple-converted-space"/>
    <w:rsid w:val="001C0E8F"/>
  </w:style>
  <w:style w:type="paragraph" w:customStyle="1" w:styleId="CharCharChar1Char">
    <w:name w:val="Char Char Char1 Char"/>
    <w:basedOn w:val="a"/>
    <w:rsid w:val="004C5D8D"/>
    <w:rPr>
      <w:sz w:val="32"/>
      <w:szCs w:val="32"/>
    </w:rPr>
  </w:style>
  <w:style w:type="character" w:customStyle="1" w:styleId="CharChar6">
    <w:name w:val="Char Char6"/>
    <w:locked/>
    <w:rsid w:val="004C5D8D"/>
    <w:rPr>
      <w:sz w:val="18"/>
    </w:rPr>
  </w:style>
  <w:style w:type="character" w:customStyle="1" w:styleId="CharChar5">
    <w:name w:val="Char Char5"/>
    <w:locked/>
    <w:rsid w:val="004C5D8D"/>
    <w:rPr>
      <w:sz w:val="18"/>
    </w:rPr>
  </w:style>
  <w:style w:type="character" w:customStyle="1" w:styleId="CharChar9">
    <w:name w:val="Char Char9"/>
    <w:rsid w:val="004C5D8D"/>
    <w:rPr>
      <w:rFonts w:ascii="宋体" w:eastAsia="宋体" w:hAnsi="宋体" w:cs="宋体"/>
      <w:b/>
      <w:bCs/>
      <w:kern w:val="36"/>
      <w:sz w:val="48"/>
      <w:szCs w:val="48"/>
      <w:lang w:val="en-US" w:eastAsia="zh-CN" w:bidi="ar-SA"/>
    </w:rPr>
  </w:style>
  <w:style w:type="paragraph" w:customStyle="1" w:styleId="CharChar4CharCharCharCharCharCharCharChar">
    <w:name w:val="Char Char4 Char Char Char Char Char Char Char Char"/>
    <w:basedOn w:val="a"/>
    <w:rsid w:val="004C5D8D"/>
    <w:rPr>
      <w:sz w:val="32"/>
      <w:szCs w:val="32"/>
    </w:rPr>
  </w:style>
  <w:style w:type="paragraph" w:customStyle="1" w:styleId="CharChar15CharChar">
    <w:name w:val="Char Char15 Char Char"/>
    <w:basedOn w:val="a"/>
    <w:rsid w:val="004C5D8D"/>
    <w:rPr>
      <w:sz w:val="32"/>
      <w:szCs w:val="32"/>
    </w:rPr>
  </w:style>
  <w:style w:type="paragraph" w:customStyle="1" w:styleId="CharChar4CharCharCharCharCharChar">
    <w:name w:val="Char Char4 Char Char Char Char Char Char"/>
    <w:basedOn w:val="a"/>
    <w:rsid w:val="004C5D8D"/>
    <w:rPr>
      <w:sz w:val="32"/>
      <w:szCs w:val="32"/>
    </w:rPr>
  </w:style>
  <w:style w:type="character" w:customStyle="1" w:styleId="CharChar12">
    <w:name w:val="Char Char12"/>
    <w:locked/>
    <w:rsid w:val="004C5D8D"/>
    <w:rPr>
      <w:rFonts w:ascii="宋体" w:eastAsia="宋体" w:cs="宋体"/>
      <w:b/>
      <w:bCs/>
      <w:kern w:val="36"/>
      <w:sz w:val="48"/>
      <w:szCs w:val="48"/>
    </w:rPr>
  </w:style>
  <w:style w:type="character" w:customStyle="1" w:styleId="a141">
    <w:name w:val="a141"/>
    <w:rsid w:val="004C5D8D"/>
    <w:rPr>
      <w:rFonts w:ascii="ˎ̥" w:hAnsi="ˎ̥" w:hint="default"/>
      <w:strike w:val="0"/>
      <w:dstrike w:val="0"/>
      <w:color w:val="666666"/>
      <w:sz w:val="19"/>
      <w:szCs w:val="19"/>
      <w:u w:val="none"/>
      <w:effect w:val="none"/>
      <w:bdr w:val="none" w:sz="0" w:space="0" w:color="auto" w:frame="1"/>
    </w:rPr>
  </w:style>
  <w:style w:type="paragraph" w:customStyle="1" w:styleId="tableleft">
    <w:name w:val="table_left"/>
    <w:basedOn w:val="a"/>
    <w:link w:val="tableleftChar"/>
    <w:qFormat/>
    <w:rsid w:val="004C5D8D"/>
    <w:pPr>
      <w:framePr w:hSpace="180" w:wrap="around" w:vAnchor="text" w:hAnchor="margin" w:xAlign="center" w:y="158"/>
      <w:widowControl/>
    </w:pPr>
    <w:rPr>
      <w:color w:val="000000"/>
      <w:kern w:val="0"/>
      <w:sz w:val="18"/>
      <w:szCs w:val="18"/>
      <w:lang w:val="x-none" w:eastAsia="x-none"/>
    </w:rPr>
  </w:style>
  <w:style w:type="character" w:customStyle="1" w:styleId="tableleftChar">
    <w:name w:val="table_left Char"/>
    <w:link w:val="tableleft"/>
    <w:rsid w:val="004C5D8D"/>
    <w:rPr>
      <w:color w:val="000000"/>
      <w:sz w:val="18"/>
      <w:szCs w:val="18"/>
      <w:lang w:val="x-none" w:eastAsia="x-none"/>
    </w:rPr>
  </w:style>
  <w:style w:type="paragraph" w:customStyle="1" w:styleId="resource">
    <w:name w:val="resource"/>
    <w:basedOn w:val="a"/>
    <w:link w:val="resourceChar"/>
    <w:qFormat/>
    <w:rsid w:val="004C5D8D"/>
    <w:pPr>
      <w:spacing w:afterLines="50" w:line="300" w:lineRule="auto"/>
      <w:ind w:rightChars="201" w:right="422"/>
    </w:pPr>
    <w:rPr>
      <w:rFonts w:eastAsia="黑体"/>
      <w:color w:val="000000"/>
      <w:sz w:val="15"/>
      <w:szCs w:val="15"/>
      <w:lang w:val="x-none" w:eastAsia="x-none"/>
    </w:rPr>
  </w:style>
  <w:style w:type="character" w:customStyle="1" w:styleId="resourceChar">
    <w:name w:val="resource Char"/>
    <w:link w:val="resource"/>
    <w:rsid w:val="004C5D8D"/>
    <w:rPr>
      <w:rFonts w:eastAsia="黑体"/>
      <w:color w:val="000000"/>
      <w:kern w:val="2"/>
      <w:sz w:val="15"/>
      <w:szCs w:val="15"/>
      <w:lang w:val="x-none" w:eastAsia="x-none"/>
    </w:rPr>
  </w:style>
  <w:style w:type="paragraph" w:customStyle="1" w:styleId="pic">
    <w:name w:val="pic"/>
    <w:basedOn w:val="a"/>
    <w:link w:val="picChar"/>
    <w:qFormat/>
    <w:rsid w:val="004C5D8D"/>
    <w:pPr>
      <w:spacing w:beforeLines="50" w:line="300" w:lineRule="auto"/>
      <w:ind w:leftChars="201" w:left="426" w:rightChars="201" w:right="422" w:hangingChars="2" w:hanging="4"/>
      <w:jc w:val="center"/>
    </w:pPr>
    <w:rPr>
      <w:rFonts w:eastAsia="黑体"/>
      <w:b/>
      <w:color w:val="000000"/>
      <w:sz w:val="20"/>
      <w:szCs w:val="20"/>
      <w:lang w:val="x-none" w:eastAsia="x-none"/>
    </w:rPr>
  </w:style>
  <w:style w:type="character" w:customStyle="1" w:styleId="picChar">
    <w:name w:val="pic Char"/>
    <w:link w:val="pic"/>
    <w:rsid w:val="004C5D8D"/>
    <w:rPr>
      <w:rFonts w:eastAsia="黑体"/>
      <w:b/>
      <w:color w:val="000000"/>
      <w:kern w:val="2"/>
      <w:lang w:val="x-none" w:eastAsia="x-none"/>
    </w:rPr>
  </w:style>
  <w:style w:type="paragraph" w:customStyle="1" w:styleId="tableright">
    <w:name w:val="table_right"/>
    <w:basedOn w:val="a"/>
    <w:link w:val="tablerightChar"/>
    <w:qFormat/>
    <w:rsid w:val="004C5D8D"/>
    <w:pPr>
      <w:widowControl/>
      <w:jc w:val="right"/>
    </w:pPr>
    <w:rPr>
      <w:color w:val="000000"/>
      <w:kern w:val="0"/>
      <w:sz w:val="18"/>
      <w:szCs w:val="18"/>
      <w:lang w:val="x-none" w:eastAsia="x-none"/>
    </w:rPr>
  </w:style>
  <w:style w:type="character" w:customStyle="1" w:styleId="tablerightChar">
    <w:name w:val="table_right Char"/>
    <w:link w:val="tableright"/>
    <w:rsid w:val="004C5D8D"/>
    <w:rPr>
      <w:color w:val="000000"/>
      <w:sz w:val="18"/>
      <w:szCs w:val="18"/>
      <w:lang w:val="x-none" w:eastAsia="x-none"/>
    </w:rPr>
  </w:style>
  <w:style w:type="paragraph" w:customStyle="1" w:styleId="title1">
    <w:name w:val="title1"/>
    <w:basedOn w:val="a"/>
    <w:link w:val="title1Char"/>
    <w:qFormat/>
    <w:rsid w:val="004C5D8D"/>
    <w:pPr>
      <w:tabs>
        <w:tab w:val="num" w:pos="2205"/>
      </w:tabs>
      <w:adjustRightInd w:val="0"/>
      <w:snapToGrid w:val="0"/>
      <w:spacing w:beforeLines="100" w:afterLines="50"/>
      <w:ind w:left="2205" w:rightChars="201" w:right="422" w:hanging="420"/>
    </w:pPr>
    <w:rPr>
      <w:rFonts w:eastAsia="黑体"/>
      <w:b/>
      <w:color w:val="000000"/>
      <w:sz w:val="24"/>
      <w:lang w:val="x-none" w:eastAsia="x-none"/>
    </w:rPr>
  </w:style>
  <w:style w:type="character" w:customStyle="1" w:styleId="title1Char">
    <w:name w:val="title1 Char"/>
    <w:link w:val="title1"/>
    <w:rsid w:val="004C5D8D"/>
    <w:rPr>
      <w:rFonts w:eastAsia="黑体"/>
      <w:b/>
      <w:color w:val="000000"/>
      <w:kern w:val="2"/>
      <w:sz w:val="24"/>
      <w:szCs w:val="24"/>
      <w:lang w:val="x-none" w:eastAsia="x-none"/>
    </w:rPr>
  </w:style>
  <w:style w:type="paragraph" w:customStyle="1" w:styleId="APP1">
    <w:name w:val="APP1`"/>
    <w:basedOn w:val="a"/>
    <w:link w:val="APP1Char"/>
    <w:qFormat/>
    <w:rsid w:val="004C5D8D"/>
    <w:pPr>
      <w:keepNext/>
      <w:pageBreakBefore/>
      <w:tabs>
        <w:tab w:val="left" w:pos="720"/>
      </w:tabs>
      <w:adjustRightInd w:val="0"/>
      <w:snapToGrid w:val="0"/>
      <w:spacing w:line="300" w:lineRule="auto"/>
      <w:outlineLvl w:val="0"/>
    </w:pPr>
    <w:rPr>
      <w:rFonts w:eastAsia="黑体"/>
      <w:b/>
      <w:color w:val="000000"/>
      <w:sz w:val="24"/>
      <w:lang w:val="x-none" w:eastAsia="x-none"/>
    </w:rPr>
  </w:style>
  <w:style w:type="character" w:customStyle="1" w:styleId="APP1Char">
    <w:name w:val="APP1` Char"/>
    <w:link w:val="APP1"/>
    <w:rsid w:val="004C5D8D"/>
    <w:rPr>
      <w:rFonts w:eastAsia="黑体"/>
      <w:b/>
      <w:color w:val="000000"/>
      <w:kern w:val="2"/>
      <w:sz w:val="24"/>
      <w:szCs w:val="24"/>
      <w:lang w:val="x-none" w:eastAsia="x-none"/>
    </w:rPr>
  </w:style>
  <w:style w:type="paragraph" w:customStyle="1" w:styleId="tabletitle">
    <w:name w:val="table title"/>
    <w:basedOn w:val="a"/>
    <w:link w:val="tabletitleChar"/>
    <w:qFormat/>
    <w:rsid w:val="004C5D8D"/>
    <w:pPr>
      <w:spacing w:beforeLines="50" w:line="300" w:lineRule="auto"/>
      <w:ind w:leftChars="201" w:left="426" w:rightChars="201" w:right="422" w:hangingChars="2" w:hanging="4"/>
      <w:jc w:val="center"/>
    </w:pPr>
    <w:rPr>
      <w:rFonts w:eastAsia="黑体"/>
      <w:b/>
      <w:color w:val="000000"/>
      <w:sz w:val="20"/>
      <w:szCs w:val="20"/>
      <w:lang w:val="x-none" w:eastAsia="x-none"/>
    </w:rPr>
  </w:style>
  <w:style w:type="character" w:customStyle="1" w:styleId="tabletitleChar">
    <w:name w:val="table title Char"/>
    <w:link w:val="tabletitle"/>
    <w:rsid w:val="004C5D8D"/>
    <w:rPr>
      <w:rFonts w:eastAsia="黑体"/>
      <w:b/>
      <w:color w:val="000000"/>
      <w:kern w:val="2"/>
      <w:lang w:val="x-none" w:eastAsia="x-none"/>
    </w:rPr>
  </w:style>
  <w:style w:type="paragraph" w:customStyle="1" w:styleId="APPbody">
    <w:name w:val="APP_body"/>
    <w:basedOn w:val="a"/>
    <w:link w:val="APPbodyChar"/>
    <w:qFormat/>
    <w:rsid w:val="004C5D8D"/>
    <w:pPr>
      <w:adjustRightInd w:val="0"/>
      <w:snapToGrid w:val="0"/>
      <w:spacing w:line="300" w:lineRule="auto"/>
      <w:ind w:firstLineChars="200" w:firstLine="420"/>
      <w:outlineLvl w:val="0"/>
    </w:pPr>
    <w:rPr>
      <w:color w:val="000000"/>
      <w:lang w:val="x-none" w:eastAsia="x-none"/>
    </w:rPr>
  </w:style>
  <w:style w:type="character" w:customStyle="1" w:styleId="APPbodyChar">
    <w:name w:val="APP_body Char"/>
    <w:link w:val="APPbody"/>
    <w:rsid w:val="004C5D8D"/>
    <w:rPr>
      <w:color w:val="000000"/>
      <w:kern w:val="2"/>
      <w:sz w:val="21"/>
      <w:szCs w:val="24"/>
      <w:lang w:val="x-none" w:eastAsia="x-none"/>
    </w:rPr>
  </w:style>
  <w:style w:type="paragraph" w:customStyle="1" w:styleId="table">
    <w:name w:val="table"/>
    <w:basedOn w:val="a"/>
    <w:link w:val="tableChar"/>
    <w:rsid w:val="004C5D8D"/>
    <w:pPr>
      <w:widowControl/>
    </w:pPr>
    <w:rPr>
      <w:color w:val="000000"/>
      <w:kern w:val="0"/>
      <w:sz w:val="18"/>
      <w:szCs w:val="18"/>
      <w:lang w:val="x-none" w:eastAsia="x-none"/>
    </w:rPr>
  </w:style>
  <w:style w:type="character" w:customStyle="1" w:styleId="tableChar">
    <w:name w:val="table Char"/>
    <w:link w:val="table"/>
    <w:rsid w:val="004C5D8D"/>
    <w:rPr>
      <w:color w:val="000000"/>
      <w:sz w:val="18"/>
      <w:szCs w:val="18"/>
      <w:lang w:val="x-none" w:eastAsia="x-none"/>
    </w:rPr>
  </w:style>
  <w:style w:type="paragraph" w:customStyle="1" w:styleId="APP2">
    <w:name w:val="APP2"/>
    <w:basedOn w:val="a"/>
    <w:link w:val="APP2Char"/>
    <w:qFormat/>
    <w:rsid w:val="004C5D8D"/>
    <w:pPr>
      <w:tabs>
        <w:tab w:val="left" w:pos="720"/>
      </w:tabs>
      <w:adjustRightInd w:val="0"/>
      <w:snapToGrid w:val="0"/>
      <w:spacing w:line="300" w:lineRule="auto"/>
      <w:jc w:val="center"/>
      <w:outlineLvl w:val="0"/>
    </w:pPr>
    <w:rPr>
      <w:rFonts w:eastAsia="黑体"/>
      <w:b/>
      <w:color w:val="000000"/>
      <w:sz w:val="24"/>
      <w:lang w:val="x-none" w:eastAsia="x-none"/>
    </w:rPr>
  </w:style>
  <w:style w:type="character" w:customStyle="1" w:styleId="APP2Char">
    <w:name w:val="APP2 Char"/>
    <w:link w:val="APP2"/>
    <w:rsid w:val="004C5D8D"/>
    <w:rPr>
      <w:rFonts w:eastAsia="黑体"/>
      <w:b/>
      <w:color w:val="000000"/>
      <w:kern w:val="2"/>
      <w:sz w:val="24"/>
      <w:szCs w:val="24"/>
      <w:lang w:val="x-none" w:eastAsia="x-none"/>
    </w:rPr>
  </w:style>
  <w:style w:type="paragraph" w:customStyle="1" w:styleId="afff6">
    <w:name w:val="四号 正文"/>
    <w:basedOn w:val="a"/>
    <w:rsid w:val="004C5D8D"/>
    <w:pPr>
      <w:ind w:firstLineChars="200" w:firstLine="584"/>
    </w:pPr>
    <w:rPr>
      <w:rFonts w:cs="宋体"/>
      <w:color w:val="000000"/>
      <w:spacing w:val="6"/>
      <w:sz w:val="28"/>
      <w:szCs w:val="20"/>
    </w:rPr>
  </w:style>
  <w:style w:type="character" w:customStyle="1" w:styleId="font61">
    <w:name w:val="font_61"/>
    <w:rsid w:val="004C5D8D"/>
    <w:rPr>
      <w:color w:val="FF0000"/>
    </w:rPr>
  </w:style>
  <w:style w:type="character" w:customStyle="1" w:styleId="1c">
    <w:name w:val="已访问的超链接1"/>
    <w:rsid w:val="004C5D8D"/>
    <w:rPr>
      <w:color w:val="800080"/>
      <w:u w:val="single"/>
    </w:rPr>
  </w:style>
  <w:style w:type="paragraph" w:customStyle="1" w:styleId="ChartHeading">
    <w:name w:val="Chart Heading"/>
    <w:basedOn w:val="a"/>
    <w:rsid w:val="004C5D8D"/>
    <w:pPr>
      <w:snapToGrid w:val="0"/>
      <w:spacing w:after="40"/>
      <w:jc w:val="left"/>
    </w:pPr>
    <w:rPr>
      <w:rFonts w:eastAsia="华文楷体"/>
      <w:b/>
      <w:bCs/>
      <w:color w:val="000000"/>
      <w:sz w:val="24"/>
      <w:lang w:eastAsia="zh-TW"/>
    </w:rPr>
  </w:style>
  <w:style w:type="paragraph" w:customStyle="1" w:styleId="Source">
    <w:name w:val="Source"/>
    <w:basedOn w:val="a"/>
    <w:rsid w:val="004C5D8D"/>
    <w:pPr>
      <w:adjustRightInd w:val="0"/>
      <w:snapToGrid w:val="0"/>
      <w:spacing w:before="40"/>
      <w:jc w:val="left"/>
    </w:pPr>
    <w:rPr>
      <w:rFonts w:eastAsia="华文楷体"/>
      <w:i/>
      <w:iCs/>
      <w:color w:val="000000"/>
      <w:sz w:val="18"/>
      <w:szCs w:val="18"/>
    </w:rPr>
  </w:style>
  <w:style w:type="paragraph" w:customStyle="1" w:styleId="B1">
    <w:name w:val="B1"/>
    <w:basedOn w:val="a"/>
    <w:link w:val="B1Char"/>
    <w:rsid w:val="004C5D8D"/>
    <w:pPr>
      <w:widowControl/>
      <w:tabs>
        <w:tab w:val="num" w:pos="1077"/>
      </w:tabs>
      <w:ind w:left="1077" w:hanging="360"/>
      <w:jc w:val="left"/>
    </w:pPr>
    <w:rPr>
      <w:rFonts w:ascii="Arial" w:hAnsi="Arial" w:cs="Arial"/>
      <w:color w:val="000000"/>
      <w:kern w:val="0"/>
      <w:sz w:val="18"/>
      <w:szCs w:val="18"/>
      <w:lang w:val="x-none" w:eastAsia="x-none" w:bidi="hi-IN"/>
    </w:rPr>
  </w:style>
  <w:style w:type="character" w:customStyle="1" w:styleId="B1Char">
    <w:name w:val="B1 Char"/>
    <w:link w:val="B1"/>
    <w:rsid w:val="004C5D8D"/>
    <w:rPr>
      <w:rFonts w:ascii="Arial" w:hAnsi="Arial" w:cs="Arial"/>
      <w:color w:val="000000"/>
      <w:sz w:val="18"/>
      <w:szCs w:val="18"/>
      <w:lang w:val="x-none" w:eastAsia="x-none" w:bidi="hi-IN"/>
    </w:rPr>
  </w:style>
  <w:style w:type="paragraph" w:customStyle="1" w:styleId="MTDisplayEquation">
    <w:name w:val="MTDisplayEquation"/>
    <w:basedOn w:val="affe"/>
    <w:next w:val="a"/>
    <w:rsid w:val="004C5D8D"/>
    <w:pPr>
      <w:widowControl/>
      <w:tabs>
        <w:tab w:val="center" w:pos="7440"/>
        <w:tab w:val="right" w:pos="10660"/>
      </w:tabs>
      <w:spacing w:line="276" w:lineRule="auto"/>
      <w:ind w:left="4191" w:hanging="420"/>
    </w:pPr>
    <w:rPr>
      <w:rFonts w:ascii="Arial" w:eastAsia="楷体_GB2312" w:hAnsi="Arial" w:cs="Arial"/>
      <w:color w:val="000000"/>
      <w:sz w:val="21"/>
      <w:lang w:val="en-GB"/>
    </w:rPr>
  </w:style>
  <w:style w:type="paragraph" w:customStyle="1" w:styleId="-">
    <w:name w:val="报告格式-正文"/>
    <w:basedOn w:val="a"/>
    <w:link w:val="-Char"/>
    <w:qFormat/>
    <w:rsid w:val="004C5D8D"/>
    <w:pPr>
      <w:spacing w:line="360" w:lineRule="auto"/>
      <w:ind w:firstLineChars="200" w:firstLine="200"/>
    </w:pPr>
    <w:rPr>
      <w:sz w:val="28"/>
      <w:szCs w:val="36"/>
      <w:lang w:val="x-none" w:eastAsia="x-none"/>
    </w:rPr>
  </w:style>
  <w:style w:type="character" w:customStyle="1" w:styleId="-Char">
    <w:name w:val="报告格式-正文 Char"/>
    <w:link w:val="-"/>
    <w:rsid w:val="004C5D8D"/>
    <w:rPr>
      <w:kern w:val="2"/>
      <w:sz w:val="28"/>
      <w:szCs w:val="36"/>
      <w:lang w:val="x-none" w:eastAsia="x-none"/>
    </w:rPr>
  </w:style>
  <w:style w:type="paragraph" w:styleId="afff7">
    <w:name w:val="endnote text"/>
    <w:basedOn w:val="a"/>
    <w:link w:val="Charf6"/>
    <w:rsid w:val="004C5D8D"/>
    <w:pPr>
      <w:snapToGrid w:val="0"/>
      <w:jc w:val="left"/>
    </w:pPr>
    <w:rPr>
      <w:lang w:val="x-none" w:eastAsia="x-none"/>
    </w:rPr>
  </w:style>
  <w:style w:type="character" w:customStyle="1" w:styleId="Charf6">
    <w:name w:val="尾注文本 Char"/>
    <w:link w:val="afff7"/>
    <w:rsid w:val="004C5D8D"/>
    <w:rPr>
      <w:kern w:val="2"/>
      <w:sz w:val="21"/>
      <w:szCs w:val="24"/>
      <w:lang w:val="x-none" w:eastAsia="x-none"/>
    </w:rPr>
  </w:style>
  <w:style w:type="character" w:styleId="afff8">
    <w:name w:val="endnote reference"/>
    <w:rsid w:val="004C5D8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452910">
      <w:bodyDiv w:val="1"/>
      <w:marLeft w:val="0"/>
      <w:marRight w:val="0"/>
      <w:marTop w:val="0"/>
      <w:marBottom w:val="0"/>
      <w:divBdr>
        <w:top w:val="none" w:sz="0" w:space="0" w:color="auto"/>
        <w:left w:val="none" w:sz="0" w:space="0" w:color="auto"/>
        <w:bottom w:val="none" w:sz="0" w:space="0" w:color="auto"/>
        <w:right w:val="none" w:sz="0" w:space="0" w:color="auto"/>
      </w:divBdr>
    </w:div>
    <w:div w:id="40638297">
      <w:bodyDiv w:val="1"/>
      <w:marLeft w:val="0"/>
      <w:marRight w:val="0"/>
      <w:marTop w:val="0"/>
      <w:marBottom w:val="0"/>
      <w:divBdr>
        <w:top w:val="none" w:sz="0" w:space="0" w:color="auto"/>
        <w:left w:val="none" w:sz="0" w:space="0" w:color="auto"/>
        <w:bottom w:val="none" w:sz="0" w:space="0" w:color="auto"/>
        <w:right w:val="none" w:sz="0" w:space="0" w:color="auto"/>
      </w:divBdr>
    </w:div>
    <w:div w:id="79838712">
      <w:bodyDiv w:val="1"/>
      <w:marLeft w:val="0"/>
      <w:marRight w:val="0"/>
      <w:marTop w:val="0"/>
      <w:marBottom w:val="0"/>
      <w:divBdr>
        <w:top w:val="none" w:sz="0" w:space="0" w:color="auto"/>
        <w:left w:val="none" w:sz="0" w:space="0" w:color="auto"/>
        <w:bottom w:val="none" w:sz="0" w:space="0" w:color="auto"/>
        <w:right w:val="none" w:sz="0" w:space="0" w:color="auto"/>
      </w:divBdr>
    </w:div>
    <w:div w:id="167256012">
      <w:bodyDiv w:val="1"/>
      <w:marLeft w:val="0"/>
      <w:marRight w:val="0"/>
      <w:marTop w:val="0"/>
      <w:marBottom w:val="0"/>
      <w:divBdr>
        <w:top w:val="none" w:sz="0" w:space="0" w:color="auto"/>
        <w:left w:val="none" w:sz="0" w:space="0" w:color="auto"/>
        <w:bottom w:val="none" w:sz="0" w:space="0" w:color="auto"/>
        <w:right w:val="none" w:sz="0" w:space="0" w:color="auto"/>
      </w:divBdr>
      <w:divsChild>
        <w:div w:id="2105805198">
          <w:marLeft w:val="0"/>
          <w:marRight w:val="0"/>
          <w:marTop w:val="0"/>
          <w:marBottom w:val="0"/>
          <w:divBdr>
            <w:top w:val="none" w:sz="0" w:space="0" w:color="auto"/>
            <w:left w:val="none" w:sz="0" w:space="0" w:color="auto"/>
            <w:bottom w:val="none" w:sz="0" w:space="0" w:color="auto"/>
            <w:right w:val="none" w:sz="0" w:space="0" w:color="auto"/>
          </w:divBdr>
        </w:div>
      </w:divsChild>
    </w:div>
    <w:div w:id="178743743">
      <w:bodyDiv w:val="1"/>
      <w:marLeft w:val="0"/>
      <w:marRight w:val="0"/>
      <w:marTop w:val="0"/>
      <w:marBottom w:val="0"/>
      <w:divBdr>
        <w:top w:val="none" w:sz="0" w:space="0" w:color="auto"/>
        <w:left w:val="none" w:sz="0" w:space="0" w:color="auto"/>
        <w:bottom w:val="none" w:sz="0" w:space="0" w:color="auto"/>
        <w:right w:val="none" w:sz="0" w:space="0" w:color="auto"/>
      </w:divBdr>
      <w:divsChild>
        <w:div w:id="1756852759">
          <w:marLeft w:val="0"/>
          <w:marRight w:val="0"/>
          <w:marTop w:val="0"/>
          <w:marBottom w:val="0"/>
          <w:divBdr>
            <w:top w:val="none" w:sz="0" w:space="0" w:color="auto"/>
            <w:left w:val="none" w:sz="0" w:space="0" w:color="auto"/>
            <w:bottom w:val="none" w:sz="0" w:space="0" w:color="auto"/>
            <w:right w:val="none" w:sz="0" w:space="0" w:color="auto"/>
          </w:divBdr>
        </w:div>
      </w:divsChild>
    </w:div>
    <w:div w:id="186988734">
      <w:bodyDiv w:val="1"/>
      <w:marLeft w:val="0"/>
      <w:marRight w:val="0"/>
      <w:marTop w:val="0"/>
      <w:marBottom w:val="0"/>
      <w:divBdr>
        <w:top w:val="none" w:sz="0" w:space="0" w:color="auto"/>
        <w:left w:val="none" w:sz="0" w:space="0" w:color="auto"/>
        <w:bottom w:val="none" w:sz="0" w:space="0" w:color="auto"/>
        <w:right w:val="none" w:sz="0" w:space="0" w:color="auto"/>
      </w:divBdr>
    </w:div>
    <w:div w:id="212161478">
      <w:bodyDiv w:val="1"/>
      <w:marLeft w:val="0"/>
      <w:marRight w:val="0"/>
      <w:marTop w:val="0"/>
      <w:marBottom w:val="0"/>
      <w:divBdr>
        <w:top w:val="none" w:sz="0" w:space="0" w:color="auto"/>
        <w:left w:val="none" w:sz="0" w:space="0" w:color="auto"/>
        <w:bottom w:val="none" w:sz="0" w:space="0" w:color="auto"/>
        <w:right w:val="none" w:sz="0" w:space="0" w:color="auto"/>
      </w:divBdr>
    </w:div>
    <w:div w:id="653994142">
      <w:bodyDiv w:val="1"/>
      <w:marLeft w:val="0"/>
      <w:marRight w:val="0"/>
      <w:marTop w:val="0"/>
      <w:marBottom w:val="0"/>
      <w:divBdr>
        <w:top w:val="none" w:sz="0" w:space="0" w:color="auto"/>
        <w:left w:val="none" w:sz="0" w:space="0" w:color="auto"/>
        <w:bottom w:val="none" w:sz="0" w:space="0" w:color="auto"/>
        <w:right w:val="none" w:sz="0" w:space="0" w:color="auto"/>
      </w:divBdr>
      <w:divsChild>
        <w:div w:id="2125615571">
          <w:marLeft w:val="0"/>
          <w:marRight w:val="0"/>
          <w:marTop w:val="0"/>
          <w:marBottom w:val="0"/>
          <w:divBdr>
            <w:top w:val="none" w:sz="0" w:space="0" w:color="auto"/>
            <w:left w:val="none" w:sz="0" w:space="0" w:color="auto"/>
            <w:bottom w:val="none" w:sz="0" w:space="0" w:color="auto"/>
            <w:right w:val="none" w:sz="0" w:space="0" w:color="auto"/>
          </w:divBdr>
        </w:div>
      </w:divsChild>
    </w:div>
    <w:div w:id="719595728">
      <w:bodyDiv w:val="1"/>
      <w:marLeft w:val="0"/>
      <w:marRight w:val="0"/>
      <w:marTop w:val="0"/>
      <w:marBottom w:val="0"/>
      <w:divBdr>
        <w:top w:val="none" w:sz="0" w:space="0" w:color="auto"/>
        <w:left w:val="none" w:sz="0" w:space="0" w:color="auto"/>
        <w:bottom w:val="none" w:sz="0" w:space="0" w:color="auto"/>
        <w:right w:val="none" w:sz="0" w:space="0" w:color="auto"/>
      </w:divBdr>
      <w:divsChild>
        <w:div w:id="500505299">
          <w:marLeft w:val="0"/>
          <w:marRight w:val="0"/>
          <w:marTop w:val="0"/>
          <w:marBottom w:val="0"/>
          <w:divBdr>
            <w:top w:val="none" w:sz="0" w:space="0" w:color="auto"/>
            <w:left w:val="none" w:sz="0" w:space="0" w:color="auto"/>
            <w:bottom w:val="none" w:sz="0" w:space="0" w:color="auto"/>
            <w:right w:val="none" w:sz="0" w:space="0" w:color="auto"/>
          </w:divBdr>
        </w:div>
      </w:divsChild>
    </w:div>
    <w:div w:id="720178004">
      <w:bodyDiv w:val="1"/>
      <w:marLeft w:val="0"/>
      <w:marRight w:val="0"/>
      <w:marTop w:val="0"/>
      <w:marBottom w:val="0"/>
      <w:divBdr>
        <w:top w:val="none" w:sz="0" w:space="0" w:color="auto"/>
        <w:left w:val="none" w:sz="0" w:space="0" w:color="auto"/>
        <w:bottom w:val="none" w:sz="0" w:space="0" w:color="auto"/>
        <w:right w:val="none" w:sz="0" w:space="0" w:color="auto"/>
      </w:divBdr>
    </w:div>
    <w:div w:id="984702054">
      <w:bodyDiv w:val="1"/>
      <w:marLeft w:val="0"/>
      <w:marRight w:val="0"/>
      <w:marTop w:val="0"/>
      <w:marBottom w:val="0"/>
      <w:divBdr>
        <w:top w:val="none" w:sz="0" w:space="0" w:color="auto"/>
        <w:left w:val="none" w:sz="0" w:space="0" w:color="auto"/>
        <w:bottom w:val="none" w:sz="0" w:space="0" w:color="auto"/>
        <w:right w:val="none" w:sz="0" w:space="0" w:color="auto"/>
      </w:divBdr>
    </w:div>
    <w:div w:id="1101682580">
      <w:bodyDiv w:val="1"/>
      <w:marLeft w:val="0"/>
      <w:marRight w:val="0"/>
      <w:marTop w:val="0"/>
      <w:marBottom w:val="0"/>
      <w:divBdr>
        <w:top w:val="none" w:sz="0" w:space="0" w:color="auto"/>
        <w:left w:val="none" w:sz="0" w:space="0" w:color="auto"/>
        <w:bottom w:val="none" w:sz="0" w:space="0" w:color="auto"/>
        <w:right w:val="none" w:sz="0" w:space="0" w:color="auto"/>
      </w:divBdr>
      <w:divsChild>
        <w:div w:id="652105012">
          <w:marLeft w:val="0"/>
          <w:marRight w:val="0"/>
          <w:marTop w:val="0"/>
          <w:marBottom w:val="0"/>
          <w:divBdr>
            <w:top w:val="none" w:sz="0" w:space="0" w:color="auto"/>
            <w:left w:val="none" w:sz="0" w:space="0" w:color="auto"/>
            <w:bottom w:val="none" w:sz="0" w:space="0" w:color="auto"/>
            <w:right w:val="none" w:sz="0" w:space="0" w:color="auto"/>
          </w:divBdr>
        </w:div>
      </w:divsChild>
    </w:div>
    <w:div w:id="1135760880">
      <w:bodyDiv w:val="1"/>
      <w:marLeft w:val="0"/>
      <w:marRight w:val="0"/>
      <w:marTop w:val="0"/>
      <w:marBottom w:val="0"/>
      <w:divBdr>
        <w:top w:val="none" w:sz="0" w:space="0" w:color="auto"/>
        <w:left w:val="none" w:sz="0" w:space="0" w:color="auto"/>
        <w:bottom w:val="none" w:sz="0" w:space="0" w:color="auto"/>
        <w:right w:val="none" w:sz="0" w:space="0" w:color="auto"/>
      </w:divBdr>
    </w:div>
    <w:div w:id="1190414326">
      <w:bodyDiv w:val="1"/>
      <w:marLeft w:val="0"/>
      <w:marRight w:val="0"/>
      <w:marTop w:val="0"/>
      <w:marBottom w:val="0"/>
      <w:divBdr>
        <w:top w:val="none" w:sz="0" w:space="0" w:color="auto"/>
        <w:left w:val="none" w:sz="0" w:space="0" w:color="auto"/>
        <w:bottom w:val="none" w:sz="0" w:space="0" w:color="auto"/>
        <w:right w:val="none" w:sz="0" w:space="0" w:color="auto"/>
      </w:divBdr>
    </w:div>
    <w:div w:id="1215702986">
      <w:bodyDiv w:val="1"/>
      <w:marLeft w:val="0"/>
      <w:marRight w:val="0"/>
      <w:marTop w:val="0"/>
      <w:marBottom w:val="0"/>
      <w:divBdr>
        <w:top w:val="none" w:sz="0" w:space="0" w:color="auto"/>
        <w:left w:val="none" w:sz="0" w:space="0" w:color="auto"/>
        <w:bottom w:val="none" w:sz="0" w:space="0" w:color="auto"/>
        <w:right w:val="none" w:sz="0" w:space="0" w:color="auto"/>
      </w:divBdr>
      <w:divsChild>
        <w:div w:id="1845629785">
          <w:marLeft w:val="0"/>
          <w:marRight w:val="0"/>
          <w:marTop w:val="0"/>
          <w:marBottom w:val="0"/>
          <w:divBdr>
            <w:top w:val="none" w:sz="0" w:space="0" w:color="auto"/>
            <w:left w:val="none" w:sz="0" w:space="0" w:color="auto"/>
            <w:bottom w:val="none" w:sz="0" w:space="0" w:color="auto"/>
            <w:right w:val="none" w:sz="0" w:space="0" w:color="auto"/>
          </w:divBdr>
        </w:div>
      </w:divsChild>
    </w:div>
    <w:div w:id="1227259861">
      <w:marLeft w:val="0"/>
      <w:marRight w:val="0"/>
      <w:marTop w:val="0"/>
      <w:marBottom w:val="0"/>
      <w:divBdr>
        <w:top w:val="none" w:sz="0" w:space="0" w:color="auto"/>
        <w:left w:val="none" w:sz="0" w:space="0" w:color="auto"/>
        <w:bottom w:val="none" w:sz="0" w:space="0" w:color="auto"/>
        <w:right w:val="none" w:sz="0" w:space="0" w:color="auto"/>
      </w:divBdr>
    </w:div>
    <w:div w:id="1227259862">
      <w:marLeft w:val="0"/>
      <w:marRight w:val="0"/>
      <w:marTop w:val="0"/>
      <w:marBottom w:val="0"/>
      <w:divBdr>
        <w:top w:val="none" w:sz="0" w:space="0" w:color="auto"/>
        <w:left w:val="none" w:sz="0" w:space="0" w:color="auto"/>
        <w:bottom w:val="none" w:sz="0" w:space="0" w:color="auto"/>
        <w:right w:val="none" w:sz="0" w:space="0" w:color="auto"/>
      </w:divBdr>
    </w:div>
    <w:div w:id="1227259863">
      <w:marLeft w:val="0"/>
      <w:marRight w:val="0"/>
      <w:marTop w:val="0"/>
      <w:marBottom w:val="0"/>
      <w:divBdr>
        <w:top w:val="none" w:sz="0" w:space="0" w:color="auto"/>
        <w:left w:val="none" w:sz="0" w:space="0" w:color="auto"/>
        <w:bottom w:val="none" w:sz="0" w:space="0" w:color="auto"/>
        <w:right w:val="none" w:sz="0" w:space="0" w:color="auto"/>
      </w:divBdr>
    </w:div>
    <w:div w:id="1227259864">
      <w:marLeft w:val="0"/>
      <w:marRight w:val="0"/>
      <w:marTop w:val="0"/>
      <w:marBottom w:val="0"/>
      <w:divBdr>
        <w:top w:val="none" w:sz="0" w:space="0" w:color="auto"/>
        <w:left w:val="none" w:sz="0" w:space="0" w:color="auto"/>
        <w:bottom w:val="none" w:sz="0" w:space="0" w:color="auto"/>
        <w:right w:val="none" w:sz="0" w:space="0" w:color="auto"/>
      </w:divBdr>
    </w:div>
    <w:div w:id="1227259866">
      <w:marLeft w:val="0"/>
      <w:marRight w:val="0"/>
      <w:marTop w:val="0"/>
      <w:marBottom w:val="0"/>
      <w:divBdr>
        <w:top w:val="none" w:sz="0" w:space="0" w:color="auto"/>
        <w:left w:val="none" w:sz="0" w:space="0" w:color="auto"/>
        <w:bottom w:val="none" w:sz="0" w:space="0" w:color="auto"/>
        <w:right w:val="none" w:sz="0" w:space="0" w:color="auto"/>
      </w:divBdr>
    </w:div>
    <w:div w:id="1227259867">
      <w:marLeft w:val="0"/>
      <w:marRight w:val="0"/>
      <w:marTop w:val="0"/>
      <w:marBottom w:val="0"/>
      <w:divBdr>
        <w:top w:val="none" w:sz="0" w:space="0" w:color="auto"/>
        <w:left w:val="none" w:sz="0" w:space="0" w:color="auto"/>
        <w:bottom w:val="none" w:sz="0" w:space="0" w:color="auto"/>
        <w:right w:val="none" w:sz="0" w:space="0" w:color="auto"/>
      </w:divBdr>
    </w:div>
    <w:div w:id="1227259868">
      <w:marLeft w:val="0"/>
      <w:marRight w:val="0"/>
      <w:marTop w:val="0"/>
      <w:marBottom w:val="0"/>
      <w:divBdr>
        <w:top w:val="none" w:sz="0" w:space="0" w:color="auto"/>
        <w:left w:val="none" w:sz="0" w:space="0" w:color="auto"/>
        <w:bottom w:val="none" w:sz="0" w:space="0" w:color="auto"/>
        <w:right w:val="none" w:sz="0" w:space="0" w:color="auto"/>
      </w:divBdr>
      <w:divsChild>
        <w:div w:id="1227259950">
          <w:marLeft w:val="274"/>
          <w:marRight w:val="0"/>
          <w:marTop w:val="216"/>
          <w:marBottom w:val="0"/>
          <w:divBdr>
            <w:top w:val="none" w:sz="0" w:space="0" w:color="auto"/>
            <w:left w:val="none" w:sz="0" w:space="0" w:color="auto"/>
            <w:bottom w:val="none" w:sz="0" w:space="0" w:color="auto"/>
            <w:right w:val="none" w:sz="0" w:space="0" w:color="auto"/>
          </w:divBdr>
        </w:div>
      </w:divsChild>
    </w:div>
    <w:div w:id="1227259869">
      <w:marLeft w:val="0"/>
      <w:marRight w:val="0"/>
      <w:marTop w:val="0"/>
      <w:marBottom w:val="0"/>
      <w:divBdr>
        <w:top w:val="none" w:sz="0" w:space="0" w:color="auto"/>
        <w:left w:val="none" w:sz="0" w:space="0" w:color="auto"/>
        <w:bottom w:val="none" w:sz="0" w:space="0" w:color="auto"/>
        <w:right w:val="none" w:sz="0" w:space="0" w:color="auto"/>
      </w:divBdr>
    </w:div>
    <w:div w:id="1227259872">
      <w:marLeft w:val="0"/>
      <w:marRight w:val="0"/>
      <w:marTop w:val="0"/>
      <w:marBottom w:val="0"/>
      <w:divBdr>
        <w:top w:val="none" w:sz="0" w:space="0" w:color="auto"/>
        <w:left w:val="none" w:sz="0" w:space="0" w:color="auto"/>
        <w:bottom w:val="none" w:sz="0" w:space="0" w:color="auto"/>
        <w:right w:val="none" w:sz="0" w:space="0" w:color="auto"/>
      </w:divBdr>
    </w:div>
    <w:div w:id="1227259874">
      <w:marLeft w:val="0"/>
      <w:marRight w:val="0"/>
      <w:marTop w:val="0"/>
      <w:marBottom w:val="0"/>
      <w:divBdr>
        <w:top w:val="none" w:sz="0" w:space="0" w:color="auto"/>
        <w:left w:val="none" w:sz="0" w:space="0" w:color="auto"/>
        <w:bottom w:val="none" w:sz="0" w:space="0" w:color="auto"/>
        <w:right w:val="none" w:sz="0" w:space="0" w:color="auto"/>
      </w:divBdr>
    </w:div>
    <w:div w:id="1227259875">
      <w:marLeft w:val="0"/>
      <w:marRight w:val="0"/>
      <w:marTop w:val="0"/>
      <w:marBottom w:val="0"/>
      <w:divBdr>
        <w:top w:val="none" w:sz="0" w:space="0" w:color="auto"/>
        <w:left w:val="none" w:sz="0" w:space="0" w:color="auto"/>
        <w:bottom w:val="none" w:sz="0" w:space="0" w:color="auto"/>
        <w:right w:val="none" w:sz="0" w:space="0" w:color="auto"/>
      </w:divBdr>
    </w:div>
    <w:div w:id="1227259876">
      <w:marLeft w:val="0"/>
      <w:marRight w:val="0"/>
      <w:marTop w:val="0"/>
      <w:marBottom w:val="0"/>
      <w:divBdr>
        <w:top w:val="none" w:sz="0" w:space="0" w:color="auto"/>
        <w:left w:val="none" w:sz="0" w:space="0" w:color="auto"/>
        <w:bottom w:val="none" w:sz="0" w:space="0" w:color="auto"/>
        <w:right w:val="none" w:sz="0" w:space="0" w:color="auto"/>
      </w:divBdr>
      <w:divsChild>
        <w:div w:id="1227259865">
          <w:marLeft w:val="0"/>
          <w:marRight w:val="0"/>
          <w:marTop w:val="0"/>
          <w:marBottom w:val="0"/>
          <w:divBdr>
            <w:top w:val="none" w:sz="0" w:space="0" w:color="auto"/>
            <w:left w:val="none" w:sz="0" w:space="0" w:color="auto"/>
            <w:bottom w:val="none" w:sz="0" w:space="0" w:color="auto"/>
            <w:right w:val="none" w:sz="0" w:space="0" w:color="auto"/>
          </w:divBdr>
          <w:divsChild>
            <w:div w:id="1227259901">
              <w:marLeft w:val="0"/>
              <w:marRight w:val="0"/>
              <w:marTop w:val="0"/>
              <w:marBottom w:val="0"/>
              <w:divBdr>
                <w:top w:val="none" w:sz="0" w:space="0" w:color="auto"/>
                <w:left w:val="none" w:sz="0" w:space="0" w:color="auto"/>
                <w:bottom w:val="none" w:sz="0" w:space="0" w:color="auto"/>
                <w:right w:val="none" w:sz="0" w:space="0" w:color="auto"/>
              </w:divBdr>
              <w:divsChild>
                <w:div w:id="1227259959">
                  <w:marLeft w:val="0"/>
                  <w:marRight w:val="0"/>
                  <w:marTop w:val="0"/>
                  <w:marBottom w:val="0"/>
                  <w:divBdr>
                    <w:top w:val="none" w:sz="0" w:space="0" w:color="auto"/>
                    <w:left w:val="none" w:sz="0" w:space="0" w:color="auto"/>
                    <w:bottom w:val="none" w:sz="0" w:space="0" w:color="auto"/>
                    <w:right w:val="none" w:sz="0" w:space="0" w:color="auto"/>
                  </w:divBdr>
                  <w:divsChild>
                    <w:div w:id="1227259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7259877">
      <w:marLeft w:val="0"/>
      <w:marRight w:val="0"/>
      <w:marTop w:val="0"/>
      <w:marBottom w:val="0"/>
      <w:divBdr>
        <w:top w:val="none" w:sz="0" w:space="0" w:color="auto"/>
        <w:left w:val="none" w:sz="0" w:space="0" w:color="auto"/>
        <w:bottom w:val="none" w:sz="0" w:space="0" w:color="auto"/>
        <w:right w:val="none" w:sz="0" w:space="0" w:color="auto"/>
      </w:divBdr>
    </w:div>
    <w:div w:id="1227259878">
      <w:marLeft w:val="0"/>
      <w:marRight w:val="0"/>
      <w:marTop w:val="0"/>
      <w:marBottom w:val="0"/>
      <w:divBdr>
        <w:top w:val="none" w:sz="0" w:space="0" w:color="auto"/>
        <w:left w:val="none" w:sz="0" w:space="0" w:color="auto"/>
        <w:bottom w:val="none" w:sz="0" w:space="0" w:color="auto"/>
        <w:right w:val="none" w:sz="0" w:space="0" w:color="auto"/>
      </w:divBdr>
    </w:div>
    <w:div w:id="1227259879">
      <w:marLeft w:val="0"/>
      <w:marRight w:val="0"/>
      <w:marTop w:val="0"/>
      <w:marBottom w:val="0"/>
      <w:divBdr>
        <w:top w:val="none" w:sz="0" w:space="0" w:color="auto"/>
        <w:left w:val="none" w:sz="0" w:space="0" w:color="auto"/>
        <w:bottom w:val="none" w:sz="0" w:space="0" w:color="auto"/>
        <w:right w:val="none" w:sz="0" w:space="0" w:color="auto"/>
      </w:divBdr>
    </w:div>
    <w:div w:id="1227259880">
      <w:marLeft w:val="0"/>
      <w:marRight w:val="0"/>
      <w:marTop w:val="0"/>
      <w:marBottom w:val="0"/>
      <w:divBdr>
        <w:top w:val="none" w:sz="0" w:space="0" w:color="auto"/>
        <w:left w:val="none" w:sz="0" w:space="0" w:color="auto"/>
        <w:bottom w:val="none" w:sz="0" w:space="0" w:color="auto"/>
        <w:right w:val="none" w:sz="0" w:space="0" w:color="auto"/>
      </w:divBdr>
    </w:div>
    <w:div w:id="1227259882">
      <w:marLeft w:val="0"/>
      <w:marRight w:val="0"/>
      <w:marTop w:val="0"/>
      <w:marBottom w:val="0"/>
      <w:divBdr>
        <w:top w:val="none" w:sz="0" w:space="0" w:color="auto"/>
        <w:left w:val="none" w:sz="0" w:space="0" w:color="auto"/>
        <w:bottom w:val="none" w:sz="0" w:space="0" w:color="auto"/>
        <w:right w:val="none" w:sz="0" w:space="0" w:color="auto"/>
      </w:divBdr>
    </w:div>
    <w:div w:id="1227259883">
      <w:marLeft w:val="0"/>
      <w:marRight w:val="0"/>
      <w:marTop w:val="0"/>
      <w:marBottom w:val="0"/>
      <w:divBdr>
        <w:top w:val="none" w:sz="0" w:space="0" w:color="auto"/>
        <w:left w:val="none" w:sz="0" w:space="0" w:color="auto"/>
        <w:bottom w:val="none" w:sz="0" w:space="0" w:color="auto"/>
        <w:right w:val="none" w:sz="0" w:space="0" w:color="auto"/>
      </w:divBdr>
    </w:div>
    <w:div w:id="1227259885">
      <w:marLeft w:val="0"/>
      <w:marRight w:val="0"/>
      <w:marTop w:val="0"/>
      <w:marBottom w:val="0"/>
      <w:divBdr>
        <w:top w:val="none" w:sz="0" w:space="0" w:color="auto"/>
        <w:left w:val="none" w:sz="0" w:space="0" w:color="auto"/>
        <w:bottom w:val="none" w:sz="0" w:space="0" w:color="auto"/>
        <w:right w:val="none" w:sz="0" w:space="0" w:color="auto"/>
      </w:divBdr>
    </w:div>
    <w:div w:id="1227259886">
      <w:marLeft w:val="0"/>
      <w:marRight w:val="0"/>
      <w:marTop w:val="0"/>
      <w:marBottom w:val="0"/>
      <w:divBdr>
        <w:top w:val="none" w:sz="0" w:space="0" w:color="auto"/>
        <w:left w:val="none" w:sz="0" w:space="0" w:color="auto"/>
        <w:bottom w:val="none" w:sz="0" w:space="0" w:color="auto"/>
        <w:right w:val="none" w:sz="0" w:space="0" w:color="auto"/>
      </w:divBdr>
    </w:div>
    <w:div w:id="1227259887">
      <w:marLeft w:val="0"/>
      <w:marRight w:val="0"/>
      <w:marTop w:val="0"/>
      <w:marBottom w:val="0"/>
      <w:divBdr>
        <w:top w:val="none" w:sz="0" w:space="0" w:color="auto"/>
        <w:left w:val="none" w:sz="0" w:space="0" w:color="auto"/>
        <w:bottom w:val="none" w:sz="0" w:space="0" w:color="auto"/>
        <w:right w:val="none" w:sz="0" w:space="0" w:color="auto"/>
      </w:divBdr>
    </w:div>
    <w:div w:id="1227259889">
      <w:marLeft w:val="0"/>
      <w:marRight w:val="0"/>
      <w:marTop w:val="0"/>
      <w:marBottom w:val="0"/>
      <w:divBdr>
        <w:top w:val="none" w:sz="0" w:space="0" w:color="auto"/>
        <w:left w:val="none" w:sz="0" w:space="0" w:color="auto"/>
        <w:bottom w:val="none" w:sz="0" w:space="0" w:color="auto"/>
        <w:right w:val="none" w:sz="0" w:space="0" w:color="auto"/>
      </w:divBdr>
    </w:div>
    <w:div w:id="1227259890">
      <w:marLeft w:val="0"/>
      <w:marRight w:val="0"/>
      <w:marTop w:val="0"/>
      <w:marBottom w:val="0"/>
      <w:divBdr>
        <w:top w:val="none" w:sz="0" w:space="0" w:color="auto"/>
        <w:left w:val="none" w:sz="0" w:space="0" w:color="auto"/>
        <w:bottom w:val="none" w:sz="0" w:space="0" w:color="auto"/>
        <w:right w:val="none" w:sz="0" w:space="0" w:color="auto"/>
      </w:divBdr>
    </w:div>
    <w:div w:id="1227259891">
      <w:marLeft w:val="0"/>
      <w:marRight w:val="0"/>
      <w:marTop w:val="0"/>
      <w:marBottom w:val="0"/>
      <w:divBdr>
        <w:top w:val="none" w:sz="0" w:space="0" w:color="auto"/>
        <w:left w:val="none" w:sz="0" w:space="0" w:color="auto"/>
        <w:bottom w:val="none" w:sz="0" w:space="0" w:color="auto"/>
        <w:right w:val="none" w:sz="0" w:space="0" w:color="auto"/>
      </w:divBdr>
    </w:div>
    <w:div w:id="1227259892">
      <w:marLeft w:val="0"/>
      <w:marRight w:val="0"/>
      <w:marTop w:val="0"/>
      <w:marBottom w:val="0"/>
      <w:divBdr>
        <w:top w:val="none" w:sz="0" w:space="0" w:color="auto"/>
        <w:left w:val="none" w:sz="0" w:space="0" w:color="auto"/>
        <w:bottom w:val="none" w:sz="0" w:space="0" w:color="auto"/>
        <w:right w:val="none" w:sz="0" w:space="0" w:color="auto"/>
      </w:divBdr>
      <w:divsChild>
        <w:div w:id="1227259871">
          <w:marLeft w:val="0"/>
          <w:marRight w:val="0"/>
          <w:marTop w:val="0"/>
          <w:marBottom w:val="0"/>
          <w:divBdr>
            <w:top w:val="none" w:sz="0" w:space="0" w:color="auto"/>
            <w:left w:val="none" w:sz="0" w:space="0" w:color="auto"/>
            <w:bottom w:val="none" w:sz="0" w:space="0" w:color="auto"/>
            <w:right w:val="none" w:sz="0" w:space="0" w:color="auto"/>
          </w:divBdr>
          <w:divsChild>
            <w:div w:id="1227259888">
              <w:marLeft w:val="0"/>
              <w:marRight w:val="0"/>
              <w:marTop w:val="0"/>
              <w:marBottom w:val="0"/>
              <w:divBdr>
                <w:top w:val="none" w:sz="0" w:space="0" w:color="auto"/>
                <w:left w:val="none" w:sz="0" w:space="0" w:color="auto"/>
                <w:bottom w:val="none" w:sz="0" w:space="0" w:color="auto"/>
                <w:right w:val="none" w:sz="0" w:space="0" w:color="auto"/>
              </w:divBdr>
              <w:divsChild>
                <w:div w:id="1227259873">
                  <w:marLeft w:val="0"/>
                  <w:marRight w:val="0"/>
                  <w:marTop w:val="0"/>
                  <w:marBottom w:val="0"/>
                  <w:divBdr>
                    <w:top w:val="none" w:sz="0" w:space="0" w:color="auto"/>
                    <w:left w:val="none" w:sz="0" w:space="0" w:color="auto"/>
                    <w:bottom w:val="none" w:sz="0" w:space="0" w:color="auto"/>
                    <w:right w:val="none" w:sz="0" w:space="0" w:color="auto"/>
                  </w:divBdr>
                  <w:divsChild>
                    <w:div w:id="1227259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7259893">
      <w:marLeft w:val="0"/>
      <w:marRight w:val="0"/>
      <w:marTop w:val="0"/>
      <w:marBottom w:val="0"/>
      <w:divBdr>
        <w:top w:val="none" w:sz="0" w:space="0" w:color="auto"/>
        <w:left w:val="none" w:sz="0" w:space="0" w:color="auto"/>
        <w:bottom w:val="none" w:sz="0" w:space="0" w:color="auto"/>
        <w:right w:val="none" w:sz="0" w:space="0" w:color="auto"/>
      </w:divBdr>
    </w:div>
    <w:div w:id="1227259894">
      <w:marLeft w:val="0"/>
      <w:marRight w:val="0"/>
      <w:marTop w:val="0"/>
      <w:marBottom w:val="0"/>
      <w:divBdr>
        <w:top w:val="none" w:sz="0" w:space="0" w:color="auto"/>
        <w:left w:val="none" w:sz="0" w:space="0" w:color="auto"/>
        <w:bottom w:val="none" w:sz="0" w:space="0" w:color="auto"/>
        <w:right w:val="none" w:sz="0" w:space="0" w:color="auto"/>
      </w:divBdr>
    </w:div>
    <w:div w:id="1227259895">
      <w:marLeft w:val="0"/>
      <w:marRight w:val="0"/>
      <w:marTop w:val="0"/>
      <w:marBottom w:val="0"/>
      <w:divBdr>
        <w:top w:val="none" w:sz="0" w:space="0" w:color="auto"/>
        <w:left w:val="none" w:sz="0" w:space="0" w:color="auto"/>
        <w:bottom w:val="none" w:sz="0" w:space="0" w:color="auto"/>
        <w:right w:val="none" w:sz="0" w:space="0" w:color="auto"/>
      </w:divBdr>
    </w:div>
    <w:div w:id="1227259896">
      <w:marLeft w:val="0"/>
      <w:marRight w:val="0"/>
      <w:marTop w:val="0"/>
      <w:marBottom w:val="0"/>
      <w:divBdr>
        <w:top w:val="none" w:sz="0" w:space="0" w:color="auto"/>
        <w:left w:val="none" w:sz="0" w:space="0" w:color="auto"/>
        <w:bottom w:val="none" w:sz="0" w:space="0" w:color="auto"/>
        <w:right w:val="none" w:sz="0" w:space="0" w:color="auto"/>
      </w:divBdr>
      <w:divsChild>
        <w:div w:id="1227259881">
          <w:marLeft w:val="0"/>
          <w:marRight w:val="0"/>
          <w:marTop w:val="0"/>
          <w:marBottom w:val="0"/>
          <w:divBdr>
            <w:top w:val="none" w:sz="0" w:space="0" w:color="auto"/>
            <w:left w:val="none" w:sz="0" w:space="0" w:color="auto"/>
            <w:bottom w:val="none" w:sz="0" w:space="0" w:color="auto"/>
            <w:right w:val="none" w:sz="0" w:space="0" w:color="auto"/>
          </w:divBdr>
          <w:divsChild>
            <w:div w:id="1227259884">
              <w:marLeft w:val="0"/>
              <w:marRight w:val="0"/>
              <w:marTop w:val="0"/>
              <w:marBottom w:val="0"/>
              <w:divBdr>
                <w:top w:val="none" w:sz="0" w:space="0" w:color="auto"/>
                <w:left w:val="none" w:sz="0" w:space="0" w:color="auto"/>
                <w:bottom w:val="none" w:sz="0" w:space="0" w:color="auto"/>
                <w:right w:val="none" w:sz="0" w:space="0" w:color="auto"/>
              </w:divBdr>
              <w:divsChild>
                <w:div w:id="1227259947">
                  <w:marLeft w:val="0"/>
                  <w:marRight w:val="0"/>
                  <w:marTop w:val="0"/>
                  <w:marBottom w:val="0"/>
                  <w:divBdr>
                    <w:top w:val="none" w:sz="0" w:space="0" w:color="auto"/>
                    <w:left w:val="none" w:sz="0" w:space="0" w:color="auto"/>
                    <w:bottom w:val="none" w:sz="0" w:space="0" w:color="auto"/>
                    <w:right w:val="none" w:sz="0" w:space="0" w:color="auto"/>
                  </w:divBdr>
                  <w:divsChild>
                    <w:div w:id="1227259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7259897">
      <w:marLeft w:val="0"/>
      <w:marRight w:val="0"/>
      <w:marTop w:val="0"/>
      <w:marBottom w:val="0"/>
      <w:divBdr>
        <w:top w:val="none" w:sz="0" w:space="0" w:color="auto"/>
        <w:left w:val="none" w:sz="0" w:space="0" w:color="auto"/>
        <w:bottom w:val="none" w:sz="0" w:space="0" w:color="auto"/>
        <w:right w:val="none" w:sz="0" w:space="0" w:color="auto"/>
      </w:divBdr>
    </w:div>
    <w:div w:id="1227259898">
      <w:marLeft w:val="0"/>
      <w:marRight w:val="0"/>
      <w:marTop w:val="0"/>
      <w:marBottom w:val="0"/>
      <w:divBdr>
        <w:top w:val="none" w:sz="0" w:space="0" w:color="auto"/>
        <w:left w:val="none" w:sz="0" w:space="0" w:color="auto"/>
        <w:bottom w:val="none" w:sz="0" w:space="0" w:color="auto"/>
        <w:right w:val="none" w:sz="0" w:space="0" w:color="auto"/>
      </w:divBdr>
    </w:div>
    <w:div w:id="1227259899">
      <w:marLeft w:val="0"/>
      <w:marRight w:val="0"/>
      <w:marTop w:val="0"/>
      <w:marBottom w:val="0"/>
      <w:divBdr>
        <w:top w:val="none" w:sz="0" w:space="0" w:color="auto"/>
        <w:left w:val="none" w:sz="0" w:space="0" w:color="auto"/>
        <w:bottom w:val="none" w:sz="0" w:space="0" w:color="auto"/>
        <w:right w:val="none" w:sz="0" w:space="0" w:color="auto"/>
      </w:divBdr>
    </w:div>
    <w:div w:id="1227259902">
      <w:marLeft w:val="0"/>
      <w:marRight w:val="0"/>
      <w:marTop w:val="0"/>
      <w:marBottom w:val="0"/>
      <w:divBdr>
        <w:top w:val="none" w:sz="0" w:space="0" w:color="auto"/>
        <w:left w:val="none" w:sz="0" w:space="0" w:color="auto"/>
        <w:bottom w:val="none" w:sz="0" w:space="0" w:color="auto"/>
        <w:right w:val="none" w:sz="0" w:space="0" w:color="auto"/>
      </w:divBdr>
    </w:div>
    <w:div w:id="1227259904">
      <w:marLeft w:val="0"/>
      <w:marRight w:val="0"/>
      <w:marTop w:val="0"/>
      <w:marBottom w:val="0"/>
      <w:divBdr>
        <w:top w:val="none" w:sz="0" w:space="0" w:color="auto"/>
        <w:left w:val="none" w:sz="0" w:space="0" w:color="auto"/>
        <w:bottom w:val="none" w:sz="0" w:space="0" w:color="auto"/>
        <w:right w:val="none" w:sz="0" w:space="0" w:color="auto"/>
      </w:divBdr>
    </w:div>
    <w:div w:id="1227259905">
      <w:marLeft w:val="0"/>
      <w:marRight w:val="0"/>
      <w:marTop w:val="0"/>
      <w:marBottom w:val="0"/>
      <w:divBdr>
        <w:top w:val="none" w:sz="0" w:space="0" w:color="auto"/>
        <w:left w:val="none" w:sz="0" w:space="0" w:color="auto"/>
        <w:bottom w:val="none" w:sz="0" w:space="0" w:color="auto"/>
        <w:right w:val="none" w:sz="0" w:space="0" w:color="auto"/>
      </w:divBdr>
    </w:div>
    <w:div w:id="1227259906">
      <w:marLeft w:val="0"/>
      <w:marRight w:val="0"/>
      <w:marTop w:val="0"/>
      <w:marBottom w:val="0"/>
      <w:divBdr>
        <w:top w:val="none" w:sz="0" w:space="0" w:color="auto"/>
        <w:left w:val="none" w:sz="0" w:space="0" w:color="auto"/>
        <w:bottom w:val="none" w:sz="0" w:space="0" w:color="auto"/>
        <w:right w:val="none" w:sz="0" w:space="0" w:color="auto"/>
      </w:divBdr>
    </w:div>
    <w:div w:id="1227259907">
      <w:marLeft w:val="0"/>
      <w:marRight w:val="0"/>
      <w:marTop w:val="0"/>
      <w:marBottom w:val="0"/>
      <w:divBdr>
        <w:top w:val="none" w:sz="0" w:space="0" w:color="auto"/>
        <w:left w:val="none" w:sz="0" w:space="0" w:color="auto"/>
        <w:bottom w:val="none" w:sz="0" w:space="0" w:color="auto"/>
        <w:right w:val="none" w:sz="0" w:space="0" w:color="auto"/>
      </w:divBdr>
    </w:div>
    <w:div w:id="1227259908">
      <w:marLeft w:val="0"/>
      <w:marRight w:val="0"/>
      <w:marTop w:val="0"/>
      <w:marBottom w:val="0"/>
      <w:divBdr>
        <w:top w:val="none" w:sz="0" w:space="0" w:color="auto"/>
        <w:left w:val="none" w:sz="0" w:space="0" w:color="auto"/>
        <w:bottom w:val="none" w:sz="0" w:space="0" w:color="auto"/>
        <w:right w:val="none" w:sz="0" w:space="0" w:color="auto"/>
      </w:divBdr>
    </w:div>
    <w:div w:id="1227259909">
      <w:marLeft w:val="0"/>
      <w:marRight w:val="0"/>
      <w:marTop w:val="0"/>
      <w:marBottom w:val="0"/>
      <w:divBdr>
        <w:top w:val="none" w:sz="0" w:space="0" w:color="auto"/>
        <w:left w:val="none" w:sz="0" w:space="0" w:color="auto"/>
        <w:bottom w:val="none" w:sz="0" w:space="0" w:color="auto"/>
        <w:right w:val="none" w:sz="0" w:space="0" w:color="auto"/>
      </w:divBdr>
    </w:div>
    <w:div w:id="1227259910">
      <w:marLeft w:val="0"/>
      <w:marRight w:val="0"/>
      <w:marTop w:val="0"/>
      <w:marBottom w:val="0"/>
      <w:divBdr>
        <w:top w:val="none" w:sz="0" w:space="0" w:color="auto"/>
        <w:left w:val="none" w:sz="0" w:space="0" w:color="auto"/>
        <w:bottom w:val="none" w:sz="0" w:space="0" w:color="auto"/>
        <w:right w:val="none" w:sz="0" w:space="0" w:color="auto"/>
      </w:divBdr>
    </w:div>
    <w:div w:id="1227259911">
      <w:marLeft w:val="0"/>
      <w:marRight w:val="0"/>
      <w:marTop w:val="0"/>
      <w:marBottom w:val="0"/>
      <w:divBdr>
        <w:top w:val="none" w:sz="0" w:space="0" w:color="auto"/>
        <w:left w:val="none" w:sz="0" w:space="0" w:color="auto"/>
        <w:bottom w:val="none" w:sz="0" w:space="0" w:color="auto"/>
        <w:right w:val="none" w:sz="0" w:space="0" w:color="auto"/>
      </w:divBdr>
    </w:div>
    <w:div w:id="1227259912">
      <w:marLeft w:val="0"/>
      <w:marRight w:val="0"/>
      <w:marTop w:val="0"/>
      <w:marBottom w:val="0"/>
      <w:divBdr>
        <w:top w:val="none" w:sz="0" w:space="0" w:color="auto"/>
        <w:left w:val="none" w:sz="0" w:space="0" w:color="auto"/>
        <w:bottom w:val="none" w:sz="0" w:space="0" w:color="auto"/>
        <w:right w:val="none" w:sz="0" w:space="0" w:color="auto"/>
      </w:divBdr>
    </w:div>
    <w:div w:id="1227259913">
      <w:marLeft w:val="0"/>
      <w:marRight w:val="0"/>
      <w:marTop w:val="0"/>
      <w:marBottom w:val="0"/>
      <w:divBdr>
        <w:top w:val="none" w:sz="0" w:space="0" w:color="auto"/>
        <w:left w:val="none" w:sz="0" w:space="0" w:color="auto"/>
        <w:bottom w:val="none" w:sz="0" w:space="0" w:color="auto"/>
        <w:right w:val="none" w:sz="0" w:space="0" w:color="auto"/>
      </w:divBdr>
    </w:div>
    <w:div w:id="1227259914">
      <w:marLeft w:val="0"/>
      <w:marRight w:val="0"/>
      <w:marTop w:val="0"/>
      <w:marBottom w:val="0"/>
      <w:divBdr>
        <w:top w:val="none" w:sz="0" w:space="0" w:color="auto"/>
        <w:left w:val="none" w:sz="0" w:space="0" w:color="auto"/>
        <w:bottom w:val="none" w:sz="0" w:space="0" w:color="auto"/>
        <w:right w:val="none" w:sz="0" w:space="0" w:color="auto"/>
      </w:divBdr>
    </w:div>
    <w:div w:id="1227259915">
      <w:marLeft w:val="0"/>
      <w:marRight w:val="0"/>
      <w:marTop w:val="0"/>
      <w:marBottom w:val="0"/>
      <w:divBdr>
        <w:top w:val="none" w:sz="0" w:space="0" w:color="auto"/>
        <w:left w:val="none" w:sz="0" w:space="0" w:color="auto"/>
        <w:bottom w:val="none" w:sz="0" w:space="0" w:color="auto"/>
        <w:right w:val="none" w:sz="0" w:space="0" w:color="auto"/>
      </w:divBdr>
    </w:div>
    <w:div w:id="1227259916">
      <w:marLeft w:val="0"/>
      <w:marRight w:val="0"/>
      <w:marTop w:val="0"/>
      <w:marBottom w:val="0"/>
      <w:divBdr>
        <w:top w:val="none" w:sz="0" w:space="0" w:color="auto"/>
        <w:left w:val="none" w:sz="0" w:space="0" w:color="auto"/>
        <w:bottom w:val="none" w:sz="0" w:space="0" w:color="auto"/>
        <w:right w:val="none" w:sz="0" w:space="0" w:color="auto"/>
      </w:divBdr>
    </w:div>
    <w:div w:id="1227259917">
      <w:marLeft w:val="0"/>
      <w:marRight w:val="0"/>
      <w:marTop w:val="0"/>
      <w:marBottom w:val="0"/>
      <w:divBdr>
        <w:top w:val="none" w:sz="0" w:space="0" w:color="auto"/>
        <w:left w:val="none" w:sz="0" w:space="0" w:color="auto"/>
        <w:bottom w:val="none" w:sz="0" w:space="0" w:color="auto"/>
        <w:right w:val="none" w:sz="0" w:space="0" w:color="auto"/>
      </w:divBdr>
    </w:div>
    <w:div w:id="1227259918">
      <w:marLeft w:val="0"/>
      <w:marRight w:val="0"/>
      <w:marTop w:val="0"/>
      <w:marBottom w:val="0"/>
      <w:divBdr>
        <w:top w:val="none" w:sz="0" w:space="0" w:color="auto"/>
        <w:left w:val="none" w:sz="0" w:space="0" w:color="auto"/>
        <w:bottom w:val="none" w:sz="0" w:space="0" w:color="auto"/>
        <w:right w:val="none" w:sz="0" w:space="0" w:color="auto"/>
      </w:divBdr>
    </w:div>
    <w:div w:id="1227259919">
      <w:marLeft w:val="0"/>
      <w:marRight w:val="0"/>
      <w:marTop w:val="0"/>
      <w:marBottom w:val="0"/>
      <w:divBdr>
        <w:top w:val="none" w:sz="0" w:space="0" w:color="auto"/>
        <w:left w:val="none" w:sz="0" w:space="0" w:color="auto"/>
        <w:bottom w:val="none" w:sz="0" w:space="0" w:color="auto"/>
        <w:right w:val="none" w:sz="0" w:space="0" w:color="auto"/>
      </w:divBdr>
    </w:div>
    <w:div w:id="1227259920">
      <w:marLeft w:val="0"/>
      <w:marRight w:val="0"/>
      <w:marTop w:val="0"/>
      <w:marBottom w:val="0"/>
      <w:divBdr>
        <w:top w:val="none" w:sz="0" w:space="0" w:color="auto"/>
        <w:left w:val="none" w:sz="0" w:space="0" w:color="auto"/>
        <w:bottom w:val="none" w:sz="0" w:space="0" w:color="auto"/>
        <w:right w:val="none" w:sz="0" w:space="0" w:color="auto"/>
      </w:divBdr>
    </w:div>
    <w:div w:id="1227259921">
      <w:marLeft w:val="0"/>
      <w:marRight w:val="0"/>
      <w:marTop w:val="0"/>
      <w:marBottom w:val="0"/>
      <w:divBdr>
        <w:top w:val="none" w:sz="0" w:space="0" w:color="auto"/>
        <w:left w:val="none" w:sz="0" w:space="0" w:color="auto"/>
        <w:bottom w:val="none" w:sz="0" w:space="0" w:color="auto"/>
        <w:right w:val="none" w:sz="0" w:space="0" w:color="auto"/>
      </w:divBdr>
    </w:div>
    <w:div w:id="1227259922">
      <w:marLeft w:val="0"/>
      <w:marRight w:val="0"/>
      <w:marTop w:val="0"/>
      <w:marBottom w:val="0"/>
      <w:divBdr>
        <w:top w:val="none" w:sz="0" w:space="0" w:color="auto"/>
        <w:left w:val="none" w:sz="0" w:space="0" w:color="auto"/>
        <w:bottom w:val="none" w:sz="0" w:space="0" w:color="auto"/>
        <w:right w:val="none" w:sz="0" w:space="0" w:color="auto"/>
      </w:divBdr>
    </w:div>
    <w:div w:id="1227259923">
      <w:marLeft w:val="0"/>
      <w:marRight w:val="0"/>
      <w:marTop w:val="0"/>
      <w:marBottom w:val="0"/>
      <w:divBdr>
        <w:top w:val="none" w:sz="0" w:space="0" w:color="auto"/>
        <w:left w:val="none" w:sz="0" w:space="0" w:color="auto"/>
        <w:bottom w:val="none" w:sz="0" w:space="0" w:color="auto"/>
        <w:right w:val="none" w:sz="0" w:space="0" w:color="auto"/>
      </w:divBdr>
    </w:div>
    <w:div w:id="1227259924">
      <w:marLeft w:val="0"/>
      <w:marRight w:val="0"/>
      <w:marTop w:val="0"/>
      <w:marBottom w:val="0"/>
      <w:divBdr>
        <w:top w:val="none" w:sz="0" w:space="0" w:color="auto"/>
        <w:left w:val="none" w:sz="0" w:space="0" w:color="auto"/>
        <w:bottom w:val="none" w:sz="0" w:space="0" w:color="auto"/>
        <w:right w:val="none" w:sz="0" w:space="0" w:color="auto"/>
      </w:divBdr>
    </w:div>
    <w:div w:id="1227259925">
      <w:marLeft w:val="0"/>
      <w:marRight w:val="0"/>
      <w:marTop w:val="0"/>
      <w:marBottom w:val="0"/>
      <w:divBdr>
        <w:top w:val="none" w:sz="0" w:space="0" w:color="auto"/>
        <w:left w:val="none" w:sz="0" w:space="0" w:color="auto"/>
        <w:bottom w:val="none" w:sz="0" w:space="0" w:color="auto"/>
        <w:right w:val="none" w:sz="0" w:space="0" w:color="auto"/>
      </w:divBdr>
    </w:div>
    <w:div w:id="1227259926">
      <w:marLeft w:val="0"/>
      <w:marRight w:val="0"/>
      <w:marTop w:val="0"/>
      <w:marBottom w:val="0"/>
      <w:divBdr>
        <w:top w:val="none" w:sz="0" w:space="0" w:color="auto"/>
        <w:left w:val="none" w:sz="0" w:space="0" w:color="auto"/>
        <w:bottom w:val="none" w:sz="0" w:space="0" w:color="auto"/>
        <w:right w:val="none" w:sz="0" w:space="0" w:color="auto"/>
      </w:divBdr>
    </w:div>
    <w:div w:id="1227259927">
      <w:marLeft w:val="0"/>
      <w:marRight w:val="0"/>
      <w:marTop w:val="0"/>
      <w:marBottom w:val="0"/>
      <w:divBdr>
        <w:top w:val="none" w:sz="0" w:space="0" w:color="auto"/>
        <w:left w:val="none" w:sz="0" w:space="0" w:color="auto"/>
        <w:bottom w:val="none" w:sz="0" w:space="0" w:color="auto"/>
        <w:right w:val="none" w:sz="0" w:space="0" w:color="auto"/>
      </w:divBdr>
    </w:div>
    <w:div w:id="1227259928">
      <w:marLeft w:val="0"/>
      <w:marRight w:val="0"/>
      <w:marTop w:val="0"/>
      <w:marBottom w:val="0"/>
      <w:divBdr>
        <w:top w:val="none" w:sz="0" w:space="0" w:color="auto"/>
        <w:left w:val="none" w:sz="0" w:space="0" w:color="auto"/>
        <w:bottom w:val="none" w:sz="0" w:space="0" w:color="auto"/>
        <w:right w:val="none" w:sz="0" w:space="0" w:color="auto"/>
      </w:divBdr>
    </w:div>
    <w:div w:id="1227259929">
      <w:marLeft w:val="0"/>
      <w:marRight w:val="0"/>
      <w:marTop w:val="0"/>
      <w:marBottom w:val="0"/>
      <w:divBdr>
        <w:top w:val="none" w:sz="0" w:space="0" w:color="auto"/>
        <w:left w:val="none" w:sz="0" w:space="0" w:color="auto"/>
        <w:bottom w:val="none" w:sz="0" w:space="0" w:color="auto"/>
        <w:right w:val="none" w:sz="0" w:space="0" w:color="auto"/>
      </w:divBdr>
    </w:div>
    <w:div w:id="1227259930">
      <w:marLeft w:val="0"/>
      <w:marRight w:val="0"/>
      <w:marTop w:val="0"/>
      <w:marBottom w:val="0"/>
      <w:divBdr>
        <w:top w:val="none" w:sz="0" w:space="0" w:color="auto"/>
        <w:left w:val="none" w:sz="0" w:space="0" w:color="auto"/>
        <w:bottom w:val="none" w:sz="0" w:space="0" w:color="auto"/>
        <w:right w:val="none" w:sz="0" w:space="0" w:color="auto"/>
      </w:divBdr>
    </w:div>
    <w:div w:id="1227259931">
      <w:marLeft w:val="0"/>
      <w:marRight w:val="0"/>
      <w:marTop w:val="0"/>
      <w:marBottom w:val="0"/>
      <w:divBdr>
        <w:top w:val="none" w:sz="0" w:space="0" w:color="auto"/>
        <w:left w:val="none" w:sz="0" w:space="0" w:color="auto"/>
        <w:bottom w:val="none" w:sz="0" w:space="0" w:color="auto"/>
        <w:right w:val="none" w:sz="0" w:space="0" w:color="auto"/>
      </w:divBdr>
    </w:div>
    <w:div w:id="1227259932">
      <w:marLeft w:val="0"/>
      <w:marRight w:val="0"/>
      <w:marTop w:val="0"/>
      <w:marBottom w:val="0"/>
      <w:divBdr>
        <w:top w:val="none" w:sz="0" w:space="0" w:color="auto"/>
        <w:left w:val="none" w:sz="0" w:space="0" w:color="auto"/>
        <w:bottom w:val="none" w:sz="0" w:space="0" w:color="auto"/>
        <w:right w:val="none" w:sz="0" w:space="0" w:color="auto"/>
      </w:divBdr>
    </w:div>
    <w:div w:id="1227259933">
      <w:marLeft w:val="0"/>
      <w:marRight w:val="0"/>
      <w:marTop w:val="0"/>
      <w:marBottom w:val="0"/>
      <w:divBdr>
        <w:top w:val="none" w:sz="0" w:space="0" w:color="auto"/>
        <w:left w:val="none" w:sz="0" w:space="0" w:color="auto"/>
        <w:bottom w:val="none" w:sz="0" w:space="0" w:color="auto"/>
        <w:right w:val="none" w:sz="0" w:space="0" w:color="auto"/>
      </w:divBdr>
    </w:div>
    <w:div w:id="1227259934">
      <w:marLeft w:val="0"/>
      <w:marRight w:val="0"/>
      <w:marTop w:val="0"/>
      <w:marBottom w:val="0"/>
      <w:divBdr>
        <w:top w:val="none" w:sz="0" w:space="0" w:color="auto"/>
        <w:left w:val="none" w:sz="0" w:space="0" w:color="auto"/>
        <w:bottom w:val="none" w:sz="0" w:space="0" w:color="auto"/>
        <w:right w:val="none" w:sz="0" w:space="0" w:color="auto"/>
      </w:divBdr>
    </w:div>
    <w:div w:id="1227259935">
      <w:marLeft w:val="0"/>
      <w:marRight w:val="0"/>
      <w:marTop w:val="0"/>
      <w:marBottom w:val="0"/>
      <w:divBdr>
        <w:top w:val="none" w:sz="0" w:space="0" w:color="auto"/>
        <w:left w:val="none" w:sz="0" w:space="0" w:color="auto"/>
        <w:bottom w:val="none" w:sz="0" w:space="0" w:color="auto"/>
        <w:right w:val="none" w:sz="0" w:space="0" w:color="auto"/>
      </w:divBdr>
    </w:div>
    <w:div w:id="1227259936">
      <w:marLeft w:val="0"/>
      <w:marRight w:val="0"/>
      <w:marTop w:val="0"/>
      <w:marBottom w:val="0"/>
      <w:divBdr>
        <w:top w:val="none" w:sz="0" w:space="0" w:color="auto"/>
        <w:left w:val="none" w:sz="0" w:space="0" w:color="auto"/>
        <w:bottom w:val="none" w:sz="0" w:space="0" w:color="auto"/>
        <w:right w:val="none" w:sz="0" w:space="0" w:color="auto"/>
      </w:divBdr>
    </w:div>
    <w:div w:id="1227259937">
      <w:marLeft w:val="0"/>
      <w:marRight w:val="0"/>
      <w:marTop w:val="0"/>
      <w:marBottom w:val="0"/>
      <w:divBdr>
        <w:top w:val="none" w:sz="0" w:space="0" w:color="auto"/>
        <w:left w:val="none" w:sz="0" w:space="0" w:color="auto"/>
        <w:bottom w:val="none" w:sz="0" w:space="0" w:color="auto"/>
        <w:right w:val="none" w:sz="0" w:space="0" w:color="auto"/>
      </w:divBdr>
    </w:div>
    <w:div w:id="1227259938">
      <w:marLeft w:val="0"/>
      <w:marRight w:val="0"/>
      <w:marTop w:val="0"/>
      <w:marBottom w:val="0"/>
      <w:divBdr>
        <w:top w:val="none" w:sz="0" w:space="0" w:color="auto"/>
        <w:left w:val="none" w:sz="0" w:space="0" w:color="auto"/>
        <w:bottom w:val="none" w:sz="0" w:space="0" w:color="auto"/>
        <w:right w:val="none" w:sz="0" w:space="0" w:color="auto"/>
      </w:divBdr>
    </w:div>
    <w:div w:id="1227259939">
      <w:marLeft w:val="0"/>
      <w:marRight w:val="0"/>
      <w:marTop w:val="0"/>
      <w:marBottom w:val="0"/>
      <w:divBdr>
        <w:top w:val="none" w:sz="0" w:space="0" w:color="auto"/>
        <w:left w:val="none" w:sz="0" w:space="0" w:color="auto"/>
        <w:bottom w:val="none" w:sz="0" w:space="0" w:color="auto"/>
        <w:right w:val="none" w:sz="0" w:space="0" w:color="auto"/>
      </w:divBdr>
    </w:div>
    <w:div w:id="1227259940">
      <w:marLeft w:val="0"/>
      <w:marRight w:val="0"/>
      <w:marTop w:val="0"/>
      <w:marBottom w:val="0"/>
      <w:divBdr>
        <w:top w:val="none" w:sz="0" w:space="0" w:color="auto"/>
        <w:left w:val="none" w:sz="0" w:space="0" w:color="auto"/>
        <w:bottom w:val="none" w:sz="0" w:space="0" w:color="auto"/>
        <w:right w:val="none" w:sz="0" w:space="0" w:color="auto"/>
      </w:divBdr>
    </w:div>
    <w:div w:id="1227259941">
      <w:marLeft w:val="0"/>
      <w:marRight w:val="0"/>
      <w:marTop w:val="0"/>
      <w:marBottom w:val="0"/>
      <w:divBdr>
        <w:top w:val="none" w:sz="0" w:space="0" w:color="auto"/>
        <w:left w:val="none" w:sz="0" w:space="0" w:color="auto"/>
        <w:bottom w:val="none" w:sz="0" w:space="0" w:color="auto"/>
        <w:right w:val="none" w:sz="0" w:space="0" w:color="auto"/>
      </w:divBdr>
    </w:div>
    <w:div w:id="1227259942">
      <w:marLeft w:val="0"/>
      <w:marRight w:val="0"/>
      <w:marTop w:val="0"/>
      <w:marBottom w:val="0"/>
      <w:divBdr>
        <w:top w:val="none" w:sz="0" w:space="0" w:color="auto"/>
        <w:left w:val="none" w:sz="0" w:space="0" w:color="auto"/>
        <w:bottom w:val="none" w:sz="0" w:space="0" w:color="auto"/>
        <w:right w:val="none" w:sz="0" w:space="0" w:color="auto"/>
      </w:divBdr>
    </w:div>
    <w:div w:id="1227259943">
      <w:marLeft w:val="0"/>
      <w:marRight w:val="0"/>
      <w:marTop w:val="0"/>
      <w:marBottom w:val="0"/>
      <w:divBdr>
        <w:top w:val="none" w:sz="0" w:space="0" w:color="auto"/>
        <w:left w:val="none" w:sz="0" w:space="0" w:color="auto"/>
        <w:bottom w:val="none" w:sz="0" w:space="0" w:color="auto"/>
        <w:right w:val="none" w:sz="0" w:space="0" w:color="auto"/>
      </w:divBdr>
    </w:div>
    <w:div w:id="1227259944">
      <w:marLeft w:val="0"/>
      <w:marRight w:val="0"/>
      <w:marTop w:val="0"/>
      <w:marBottom w:val="0"/>
      <w:divBdr>
        <w:top w:val="none" w:sz="0" w:space="0" w:color="auto"/>
        <w:left w:val="none" w:sz="0" w:space="0" w:color="auto"/>
        <w:bottom w:val="none" w:sz="0" w:space="0" w:color="auto"/>
        <w:right w:val="none" w:sz="0" w:space="0" w:color="auto"/>
      </w:divBdr>
    </w:div>
    <w:div w:id="1227259945">
      <w:marLeft w:val="0"/>
      <w:marRight w:val="0"/>
      <w:marTop w:val="0"/>
      <w:marBottom w:val="0"/>
      <w:divBdr>
        <w:top w:val="none" w:sz="0" w:space="0" w:color="auto"/>
        <w:left w:val="none" w:sz="0" w:space="0" w:color="auto"/>
        <w:bottom w:val="none" w:sz="0" w:space="0" w:color="auto"/>
        <w:right w:val="none" w:sz="0" w:space="0" w:color="auto"/>
      </w:divBdr>
    </w:div>
    <w:div w:id="1227259946">
      <w:marLeft w:val="0"/>
      <w:marRight w:val="0"/>
      <w:marTop w:val="0"/>
      <w:marBottom w:val="0"/>
      <w:divBdr>
        <w:top w:val="none" w:sz="0" w:space="0" w:color="auto"/>
        <w:left w:val="none" w:sz="0" w:space="0" w:color="auto"/>
        <w:bottom w:val="none" w:sz="0" w:space="0" w:color="auto"/>
        <w:right w:val="none" w:sz="0" w:space="0" w:color="auto"/>
      </w:divBdr>
    </w:div>
    <w:div w:id="1227259948">
      <w:marLeft w:val="0"/>
      <w:marRight w:val="0"/>
      <w:marTop w:val="0"/>
      <w:marBottom w:val="0"/>
      <w:divBdr>
        <w:top w:val="none" w:sz="0" w:space="0" w:color="auto"/>
        <w:left w:val="none" w:sz="0" w:space="0" w:color="auto"/>
        <w:bottom w:val="none" w:sz="0" w:space="0" w:color="auto"/>
        <w:right w:val="none" w:sz="0" w:space="0" w:color="auto"/>
      </w:divBdr>
    </w:div>
    <w:div w:id="1227259949">
      <w:marLeft w:val="0"/>
      <w:marRight w:val="0"/>
      <w:marTop w:val="0"/>
      <w:marBottom w:val="0"/>
      <w:divBdr>
        <w:top w:val="none" w:sz="0" w:space="0" w:color="auto"/>
        <w:left w:val="none" w:sz="0" w:space="0" w:color="auto"/>
        <w:bottom w:val="none" w:sz="0" w:space="0" w:color="auto"/>
        <w:right w:val="none" w:sz="0" w:space="0" w:color="auto"/>
      </w:divBdr>
    </w:div>
    <w:div w:id="1227259951">
      <w:marLeft w:val="0"/>
      <w:marRight w:val="0"/>
      <w:marTop w:val="0"/>
      <w:marBottom w:val="0"/>
      <w:divBdr>
        <w:top w:val="none" w:sz="0" w:space="0" w:color="auto"/>
        <w:left w:val="none" w:sz="0" w:space="0" w:color="auto"/>
        <w:bottom w:val="none" w:sz="0" w:space="0" w:color="auto"/>
        <w:right w:val="none" w:sz="0" w:space="0" w:color="auto"/>
      </w:divBdr>
    </w:div>
    <w:div w:id="1227259952">
      <w:marLeft w:val="0"/>
      <w:marRight w:val="0"/>
      <w:marTop w:val="0"/>
      <w:marBottom w:val="0"/>
      <w:divBdr>
        <w:top w:val="none" w:sz="0" w:space="0" w:color="auto"/>
        <w:left w:val="none" w:sz="0" w:space="0" w:color="auto"/>
        <w:bottom w:val="none" w:sz="0" w:space="0" w:color="auto"/>
        <w:right w:val="none" w:sz="0" w:space="0" w:color="auto"/>
      </w:divBdr>
    </w:div>
    <w:div w:id="1227259953">
      <w:marLeft w:val="0"/>
      <w:marRight w:val="0"/>
      <w:marTop w:val="0"/>
      <w:marBottom w:val="0"/>
      <w:divBdr>
        <w:top w:val="none" w:sz="0" w:space="0" w:color="auto"/>
        <w:left w:val="none" w:sz="0" w:space="0" w:color="auto"/>
        <w:bottom w:val="none" w:sz="0" w:space="0" w:color="auto"/>
        <w:right w:val="none" w:sz="0" w:space="0" w:color="auto"/>
      </w:divBdr>
    </w:div>
    <w:div w:id="1227259954">
      <w:marLeft w:val="0"/>
      <w:marRight w:val="0"/>
      <w:marTop w:val="0"/>
      <w:marBottom w:val="0"/>
      <w:divBdr>
        <w:top w:val="none" w:sz="0" w:space="0" w:color="auto"/>
        <w:left w:val="none" w:sz="0" w:space="0" w:color="auto"/>
        <w:bottom w:val="none" w:sz="0" w:space="0" w:color="auto"/>
        <w:right w:val="none" w:sz="0" w:space="0" w:color="auto"/>
      </w:divBdr>
    </w:div>
    <w:div w:id="1227259955">
      <w:marLeft w:val="0"/>
      <w:marRight w:val="0"/>
      <w:marTop w:val="0"/>
      <w:marBottom w:val="0"/>
      <w:divBdr>
        <w:top w:val="none" w:sz="0" w:space="0" w:color="auto"/>
        <w:left w:val="none" w:sz="0" w:space="0" w:color="auto"/>
        <w:bottom w:val="none" w:sz="0" w:space="0" w:color="auto"/>
        <w:right w:val="none" w:sz="0" w:space="0" w:color="auto"/>
      </w:divBdr>
    </w:div>
    <w:div w:id="1227259956">
      <w:marLeft w:val="0"/>
      <w:marRight w:val="0"/>
      <w:marTop w:val="0"/>
      <w:marBottom w:val="0"/>
      <w:divBdr>
        <w:top w:val="none" w:sz="0" w:space="0" w:color="auto"/>
        <w:left w:val="none" w:sz="0" w:space="0" w:color="auto"/>
        <w:bottom w:val="none" w:sz="0" w:space="0" w:color="auto"/>
        <w:right w:val="none" w:sz="0" w:space="0" w:color="auto"/>
      </w:divBdr>
    </w:div>
    <w:div w:id="1227259957">
      <w:marLeft w:val="0"/>
      <w:marRight w:val="0"/>
      <w:marTop w:val="0"/>
      <w:marBottom w:val="0"/>
      <w:divBdr>
        <w:top w:val="none" w:sz="0" w:space="0" w:color="auto"/>
        <w:left w:val="none" w:sz="0" w:space="0" w:color="auto"/>
        <w:bottom w:val="none" w:sz="0" w:space="0" w:color="auto"/>
        <w:right w:val="none" w:sz="0" w:space="0" w:color="auto"/>
      </w:divBdr>
    </w:div>
    <w:div w:id="1227259958">
      <w:marLeft w:val="0"/>
      <w:marRight w:val="0"/>
      <w:marTop w:val="0"/>
      <w:marBottom w:val="0"/>
      <w:divBdr>
        <w:top w:val="none" w:sz="0" w:space="0" w:color="auto"/>
        <w:left w:val="none" w:sz="0" w:space="0" w:color="auto"/>
        <w:bottom w:val="none" w:sz="0" w:space="0" w:color="auto"/>
        <w:right w:val="none" w:sz="0" w:space="0" w:color="auto"/>
      </w:divBdr>
    </w:div>
    <w:div w:id="1227259960">
      <w:marLeft w:val="0"/>
      <w:marRight w:val="0"/>
      <w:marTop w:val="0"/>
      <w:marBottom w:val="0"/>
      <w:divBdr>
        <w:top w:val="none" w:sz="0" w:space="0" w:color="auto"/>
        <w:left w:val="none" w:sz="0" w:space="0" w:color="auto"/>
        <w:bottom w:val="none" w:sz="0" w:space="0" w:color="auto"/>
        <w:right w:val="none" w:sz="0" w:space="0" w:color="auto"/>
      </w:divBdr>
    </w:div>
    <w:div w:id="1227259961">
      <w:marLeft w:val="0"/>
      <w:marRight w:val="0"/>
      <w:marTop w:val="0"/>
      <w:marBottom w:val="0"/>
      <w:divBdr>
        <w:top w:val="none" w:sz="0" w:space="0" w:color="auto"/>
        <w:left w:val="none" w:sz="0" w:space="0" w:color="auto"/>
        <w:bottom w:val="none" w:sz="0" w:space="0" w:color="auto"/>
        <w:right w:val="none" w:sz="0" w:space="0" w:color="auto"/>
      </w:divBdr>
    </w:div>
    <w:div w:id="1227259962">
      <w:marLeft w:val="0"/>
      <w:marRight w:val="0"/>
      <w:marTop w:val="0"/>
      <w:marBottom w:val="0"/>
      <w:divBdr>
        <w:top w:val="none" w:sz="0" w:space="0" w:color="auto"/>
        <w:left w:val="none" w:sz="0" w:space="0" w:color="auto"/>
        <w:bottom w:val="none" w:sz="0" w:space="0" w:color="auto"/>
        <w:right w:val="none" w:sz="0" w:space="0" w:color="auto"/>
      </w:divBdr>
    </w:div>
    <w:div w:id="1227259963">
      <w:marLeft w:val="0"/>
      <w:marRight w:val="0"/>
      <w:marTop w:val="0"/>
      <w:marBottom w:val="0"/>
      <w:divBdr>
        <w:top w:val="none" w:sz="0" w:space="0" w:color="auto"/>
        <w:left w:val="none" w:sz="0" w:space="0" w:color="auto"/>
        <w:bottom w:val="none" w:sz="0" w:space="0" w:color="auto"/>
        <w:right w:val="none" w:sz="0" w:space="0" w:color="auto"/>
      </w:divBdr>
    </w:div>
    <w:div w:id="1227259964">
      <w:marLeft w:val="0"/>
      <w:marRight w:val="0"/>
      <w:marTop w:val="0"/>
      <w:marBottom w:val="0"/>
      <w:divBdr>
        <w:top w:val="none" w:sz="0" w:space="0" w:color="auto"/>
        <w:left w:val="none" w:sz="0" w:space="0" w:color="auto"/>
        <w:bottom w:val="none" w:sz="0" w:space="0" w:color="auto"/>
        <w:right w:val="none" w:sz="0" w:space="0" w:color="auto"/>
      </w:divBdr>
    </w:div>
    <w:div w:id="1227259965">
      <w:marLeft w:val="0"/>
      <w:marRight w:val="0"/>
      <w:marTop w:val="0"/>
      <w:marBottom w:val="0"/>
      <w:divBdr>
        <w:top w:val="none" w:sz="0" w:space="0" w:color="auto"/>
        <w:left w:val="none" w:sz="0" w:space="0" w:color="auto"/>
        <w:bottom w:val="none" w:sz="0" w:space="0" w:color="auto"/>
        <w:right w:val="none" w:sz="0" w:space="0" w:color="auto"/>
      </w:divBdr>
    </w:div>
    <w:div w:id="1227259966">
      <w:marLeft w:val="0"/>
      <w:marRight w:val="0"/>
      <w:marTop w:val="0"/>
      <w:marBottom w:val="0"/>
      <w:divBdr>
        <w:top w:val="none" w:sz="0" w:space="0" w:color="auto"/>
        <w:left w:val="none" w:sz="0" w:space="0" w:color="auto"/>
        <w:bottom w:val="none" w:sz="0" w:space="0" w:color="auto"/>
        <w:right w:val="none" w:sz="0" w:space="0" w:color="auto"/>
      </w:divBdr>
    </w:div>
    <w:div w:id="1227259967">
      <w:marLeft w:val="0"/>
      <w:marRight w:val="0"/>
      <w:marTop w:val="0"/>
      <w:marBottom w:val="0"/>
      <w:divBdr>
        <w:top w:val="none" w:sz="0" w:space="0" w:color="auto"/>
        <w:left w:val="none" w:sz="0" w:space="0" w:color="auto"/>
        <w:bottom w:val="none" w:sz="0" w:space="0" w:color="auto"/>
        <w:right w:val="none" w:sz="0" w:space="0" w:color="auto"/>
      </w:divBdr>
    </w:div>
    <w:div w:id="1227259968">
      <w:marLeft w:val="0"/>
      <w:marRight w:val="0"/>
      <w:marTop w:val="0"/>
      <w:marBottom w:val="0"/>
      <w:divBdr>
        <w:top w:val="none" w:sz="0" w:space="0" w:color="auto"/>
        <w:left w:val="none" w:sz="0" w:space="0" w:color="auto"/>
        <w:bottom w:val="none" w:sz="0" w:space="0" w:color="auto"/>
        <w:right w:val="none" w:sz="0" w:space="0" w:color="auto"/>
      </w:divBdr>
    </w:div>
    <w:div w:id="1227259969">
      <w:marLeft w:val="0"/>
      <w:marRight w:val="0"/>
      <w:marTop w:val="0"/>
      <w:marBottom w:val="0"/>
      <w:divBdr>
        <w:top w:val="none" w:sz="0" w:space="0" w:color="auto"/>
        <w:left w:val="none" w:sz="0" w:space="0" w:color="auto"/>
        <w:bottom w:val="none" w:sz="0" w:space="0" w:color="auto"/>
        <w:right w:val="none" w:sz="0" w:space="0" w:color="auto"/>
      </w:divBdr>
    </w:div>
    <w:div w:id="1227259970">
      <w:marLeft w:val="0"/>
      <w:marRight w:val="0"/>
      <w:marTop w:val="0"/>
      <w:marBottom w:val="0"/>
      <w:divBdr>
        <w:top w:val="none" w:sz="0" w:space="0" w:color="auto"/>
        <w:left w:val="none" w:sz="0" w:space="0" w:color="auto"/>
        <w:bottom w:val="none" w:sz="0" w:space="0" w:color="auto"/>
        <w:right w:val="none" w:sz="0" w:space="0" w:color="auto"/>
      </w:divBdr>
    </w:div>
    <w:div w:id="1227259971">
      <w:marLeft w:val="0"/>
      <w:marRight w:val="0"/>
      <w:marTop w:val="0"/>
      <w:marBottom w:val="0"/>
      <w:divBdr>
        <w:top w:val="none" w:sz="0" w:space="0" w:color="auto"/>
        <w:left w:val="none" w:sz="0" w:space="0" w:color="auto"/>
        <w:bottom w:val="none" w:sz="0" w:space="0" w:color="auto"/>
        <w:right w:val="none" w:sz="0" w:space="0" w:color="auto"/>
      </w:divBdr>
    </w:div>
    <w:div w:id="1539320682">
      <w:bodyDiv w:val="1"/>
      <w:marLeft w:val="0"/>
      <w:marRight w:val="0"/>
      <w:marTop w:val="0"/>
      <w:marBottom w:val="0"/>
      <w:divBdr>
        <w:top w:val="none" w:sz="0" w:space="0" w:color="auto"/>
        <w:left w:val="none" w:sz="0" w:space="0" w:color="auto"/>
        <w:bottom w:val="none" w:sz="0" w:space="0" w:color="auto"/>
        <w:right w:val="none" w:sz="0" w:space="0" w:color="auto"/>
      </w:divBdr>
    </w:div>
    <w:div w:id="1705016919">
      <w:bodyDiv w:val="1"/>
      <w:marLeft w:val="0"/>
      <w:marRight w:val="0"/>
      <w:marTop w:val="0"/>
      <w:marBottom w:val="0"/>
      <w:divBdr>
        <w:top w:val="none" w:sz="0" w:space="0" w:color="auto"/>
        <w:left w:val="none" w:sz="0" w:space="0" w:color="auto"/>
        <w:bottom w:val="none" w:sz="0" w:space="0" w:color="auto"/>
        <w:right w:val="none" w:sz="0" w:space="0" w:color="auto"/>
      </w:divBdr>
    </w:div>
    <w:div w:id="19190527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chart" Target="charts/chart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D:\mission\2012-2-13&#26032;&#30086;&#22825;&#19994;&#38598;&#22242;\7.&#25253;&#21578;&#25776;&#20889;\ccrc&#35780;&#32423;&#25253;&#21578;&#27169;&#26495;.dotx"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1" Type="http://schemas.openxmlformats.org/officeDocument/2006/relationships/oleObject" Target="file:///C:\Users\user\Desktop\GDP&amp;&#36130;&#25919;.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1111147645555969"/>
          <c:y val="3.1818181818181815E-2"/>
          <c:w val="0.87542375389228844"/>
          <c:h val="0.82878931042710557"/>
        </c:manualLayout>
      </c:layout>
      <c:barChart>
        <c:barDir val="col"/>
        <c:grouping val="stacked"/>
        <c:varyColors val="0"/>
        <c:ser>
          <c:idx val="0"/>
          <c:order val="0"/>
          <c:tx>
            <c:strRef>
              <c:f>'[Microsoft Word 中的图表]柱形－部分构成1'!$B$41</c:f>
              <c:strCache>
                <c:ptCount val="1"/>
                <c:pt idx="0">
                  <c:v>最终消费支出拉动</c:v>
                </c:pt>
              </c:strCache>
            </c:strRef>
          </c:tx>
          <c:spPr>
            <a:gradFill rotWithShape="0">
              <a:gsLst>
                <a:gs pos="0">
                  <a:srgbClr val="727171"/>
                </a:gs>
                <a:gs pos="50000">
                  <a:srgbClr val="BFC0C0"/>
                </a:gs>
                <a:gs pos="100000">
                  <a:srgbClr val="727171"/>
                </a:gs>
              </a:gsLst>
              <a:lin ang="0" scaled="1"/>
            </a:gradFill>
            <a:ln w="25400">
              <a:noFill/>
            </a:ln>
          </c:spPr>
          <c:invertIfNegative val="0"/>
          <c:val>
            <c:numRef>
              <c:f>'[Microsoft Word 中的图表]柱形－部分构成1'!$B$42:$B$48</c:f>
              <c:numCache>
                <c:formatCode>0.00%</c:formatCode>
                <c:ptCount val="7"/>
                <c:pt idx="0">
                  <c:v>4.2000000000000003E-2</c:v>
                </c:pt>
                <c:pt idx="1">
                  <c:v>4.5999999999999999E-2</c:v>
                </c:pt>
                <c:pt idx="2">
                  <c:v>4.4999999999999998E-2</c:v>
                </c:pt>
                <c:pt idx="3">
                  <c:v>5.2999999999999999E-2</c:v>
                </c:pt>
                <c:pt idx="4">
                  <c:v>4.2000000000000003E-2</c:v>
                </c:pt>
                <c:pt idx="5">
                  <c:v>4.2000000000000003E-2</c:v>
                </c:pt>
                <c:pt idx="6">
                  <c:v>3.7999999999999999E-2</c:v>
                </c:pt>
              </c:numCache>
            </c:numRef>
          </c:val>
        </c:ser>
        <c:ser>
          <c:idx val="1"/>
          <c:order val="1"/>
          <c:tx>
            <c:strRef>
              <c:f>'[Microsoft Word 中的图表]柱形－部分构成1'!$C$41</c:f>
              <c:strCache>
                <c:ptCount val="1"/>
                <c:pt idx="0">
                  <c:v>资本形成拉动</c:v>
                </c:pt>
              </c:strCache>
            </c:strRef>
          </c:tx>
          <c:spPr>
            <a:gradFill rotWithShape="0">
              <a:gsLst>
                <a:gs pos="0">
                  <a:srgbClr val="003F98"/>
                </a:gs>
                <a:gs pos="50000">
                  <a:srgbClr val="64DEFF"/>
                </a:gs>
                <a:gs pos="100000">
                  <a:srgbClr val="003F98"/>
                </a:gs>
              </a:gsLst>
              <a:lin ang="0" scaled="1"/>
            </a:gradFill>
            <a:ln w="25400">
              <a:noFill/>
            </a:ln>
          </c:spPr>
          <c:invertIfNegative val="0"/>
          <c:val>
            <c:numRef>
              <c:f>'[Microsoft Word 中的图表]柱形－部分构成1'!$C$42:$C$48</c:f>
              <c:numCache>
                <c:formatCode>0.00%</c:formatCode>
                <c:ptCount val="7"/>
                <c:pt idx="0">
                  <c:v>4.4999999999999998E-2</c:v>
                </c:pt>
                <c:pt idx="1">
                  <c:v>8.1000000000000003E-2</c:v>
                </c:pt>
                <c:pt idx="2">
                  <c:v>5.5E-2</c:v>
                </c:pt>
                <c:pt idx="3">
                  <c:v>4.4000000000000004E-2</c:v>
                </c:pt>
                <c:pt idx="4">
                  <c:v>3.6000000000000004E-2</c:v>
                </c:pt>
                <c:pt idx="5">
                  <c:v>3.9E-2</c:v>
                </c:pt>
                <c:pt idx="6">
                  <c:v>3.6000000000000004E-2</c:v>
                </c:pt>
              </c:numCache>
            </c:numRef>
          </c:val>
        </c:ser>
        <c:ser>
          <c:idx val="2"/>
          <c:order val="2"/>
          <c:tx>
            <c:strRef>
              <c:f>'[Microsoft Word 中的图表]柱形－部分构成1'!$D$41</c:f>
              <c:strCache>
                <c:ptCount val="1"/>
                <c:pt idx="0">
                  <c:v>净出口拉动</c:v>
                </c:pt>
              </c:strCache>
            </c:strRef>
          </c:tx>
          <c:spPr>
            <a:solidFill>
              <a:srgbClr val="FFC000"/>
            </a:solidFill>
            <a:ln w="25400">
              <a:noFill/>
            </a:ln>
          </c:spPr>
          <c:invertIfNegative val="0"/>
          <c:val>
            <c:numRef>
              <c:f>'[Microsoft Word 中的图表]柱形－部分构成1'!$D$42:$D$48</c:f>
              <c:numCache>
                <c:formatCode>0.00%</c:formatCode>
                <c:ptCount val="7"/>
                <c:pt idx="0">
                  <c:v>9.0000000000000011E-3</c:v>
                </c:pt>
                <c:pt idx="1">
                  <c:v>-3.5000000000000003E-2</c:v>
                </c:pt>
                <c:pt idx="2">
                  <c:v>4.0000000000000001E-3</c:v>
                </c:pt>
                <c:pt idx="3">
                  <c:v>-4.0000000000000001E-3</c:v>
                </c:pt>
                <c:pt idx="4">
                  <c:v>-1E-3</c:v>
                </c:pt>
                <c:pt idx="5">
                  <c:v>-4.0000000000000001E-3</c:v>
                </c:pt>
                <c:pt idx="6">
                  <c:v>0</c:v>
                </c:pt>
              </c:numCache>
            </c:numRef>
          </c:val>
        </c:ser>
        <c:dLbls>
          <c:showLegendKey val="0"/>
          <c:showVal val="0"/>
          <c:showCatName val="0"/>
          <c:showSerName val="0"/>
          <c:showPercent val="0"/>
          <c:showBubbleSize val="0"/>
        </c:dLbls>
        <c:gapWidth val="50"/>
        <c:overlap val="100"/>
        <c:axId val="289608448"/>
        <c:axId val="289609984"/>
      </c:barChart>
      <c:lineChart>
        <c:grouping val="stacked"/>
        <c:varyColors val="0"/>
        <c:ser>
          <c:idx val="3"/>
          <c:order val="3"/>
          <c:tx>
            <c:strRef>
              <c:f>'[Microsoft Word 中的图表]柱形－部分构成1'!$E$41</c:f>
              <c:strCache>
                <c:ptCount val="1"/>
                <c:pt idx="0">
                  <c:v>经济增长率</c:v>
                </c:pt>
              </c:strCache>
            </c:strRef>
          </c:tx>
          <c:marker>
            <c:symbol val="none"/>
          </c:marker>
          <c:cat>
            <c:numRef>
              <c:f>'[Microsoft Word 中的图表]柱形－部分构成1'!$A$42:$A$48</c:f>
              <c:numCache>
                <c:formatCode>General</c:formatCode>
                <c:ptCount val="7"/>
                <c:pt idx="0">
                  <c:v>2008</c:v>
                </c:pt>
                <c:pt idx="1">
                  <c:v>2009</c:v>
                </c:pt>
                <c:pt idx="2">
                  <c:v>2010</c:v>
                </c:pt>
                <c:pt idx="3">
                  <c:v>2011</c:v>
                </c:pt>
                <c:pt idx="4">
                  <c:v>2012</c:v>
                </c:pt>
                <c:pt idx="5">
                  <c:v>2013</c:v>
                </c:pt>
                <c:pt idx="6">
                  <c:v>2014</c:v>
                </c:pt>
              </c:numCache>
            </c:numRef>
          </c:cat>
          <c:val>
            <c:numRef>
              <c:f>'[Microsoft Word 中的图表]柱形－部分构成1'!$E$42:$E$48</c:f>
              <c:numCache>
                <c:formatCode>0.00%</c:formatCode>
                <c:ptCount val="7"/>
                <c:pt idx="0">
                  <c:v>9.6000000000000002E-2</c:v>
                </c:pt>
                <c:pt idx="1">
                  <c:v>9.1999999999999998E-2</c:v>
                </c:pt>
                <c:pt idx="2">
                  <c:v>0.10400000000000001</c:v>
                </c:pt>
                <c:pt idx="3">
                  <c:v>9.2999999999999985E-2</c:v>
                </c:pt>
                <c:pt idx="4">
                  <c:v>7.7000000000000013E-2</c:v>
                </c:pt>
                <c:pt idx="5">
                  <c:v>7.6999999999999999E-2</c:v>
                </c:pt>
                <c:pt idx="6">
                  <c:v>7.400000000000001E-2</c:v>
                </c:pt>
              </c:numCache>
            </c:numRef>
          </c:val>
          <c:smooth val="0"/>
        </c:ser>
        <c:dLbls>
          <c:showLegendKey val="0"/>
          <c:showVal val="0"/>
          <c:showCatName val="0"/>
          <c:showSerName val="0"/>
          <c:showPercent val="0"/>
          <c:showBubbleSize val="0"/>
        </c:dLbls>
        <c:marker val="1"/>
        <c:smooth val="0"/>
        <c:axId val="289608448"/>
        <c:axId val="289609984"/>
      </c:lineChart>
      <c:catAx>
        <c:axId val="289608448"/>
        <c:scaling>
          <c:orientation val="minMax"/>
        </c:scaling>
        <c:delete val="0"/>
        <c:axPos val="b"/>
        <c:numFmt formatCode="General" sourceLinked="1"/>
        <c:majorTickMark val="out"/>
        <c:minorTickMark val="none"/>
        <c:tickLblPos val="nextTo"/>
        <c:spPr>
          <a:ln w="3175">
            <a:solidFill>
              <a:srgbClr val="C1C2C3"/>
            </a:solidFill>
            <a:prstDash val="solid"/>
          </a:ln>
        </c:spPr>
        <c:txPr>
          <a:bodyPr rot="0" vert="horz"/>
          <a:lstStyle/>
          <a:p>
            <a:pPr>
              <a:defRPr sz="800" b="0" i="0" u="none" strike="noStrike" baseline="0">
                <a:solidFill>
                  <a:srgbClr val="000000"/>
                </a:solidFill>
                <a:latin typeface="Times New Roman"/>
                <a:ea typeface="Times New Roman"/>
                <a:cs typeface="Times New Roman"/>
              </a:defRPr>
            </a:pPr>
            <a:endParaRPr lang="zh-CN"/>
          </a:p>
        </c:txPr>
        <c:crossAx val="289609984"/>
        <c:crosses val="autoZero"/>
        <c:auto val="1"/>
        <c:lblAlgn val="ctr"/>
        <c:lblOffset val="100"/>
        <c:tickLblSkip val="1"/>
        <c:tickMarkSkip val="1"/>
        <c:noMultiLvlLbl val="0"/>
      </c:catAx>
      <c:valAx>
        <c:axId val="289609984"/>
        <c:scaling>
          <c:orientation val="minMax"/>
        </c:scaling>
        <c:delete val="0"/>
        <c:axPos val="l"/>
        <c:majorGridlines>
          <c:spPr>
            <a:ln w="3175">
              <a:solidFill>
                <a:srgbClr val="C1C2C3"/>
              </a:solidFill>
              <a:prstDash val="sysDash"/>
            </a:ln>
          </c:spPr>
        </c:majorGridlines>
        <c:numFmt formatCode="0%" sourceLinked="0"/>
        <c:majorTickMark val="out"/>
        <c:minorTickMark val="none"/>
        <c:tickLblPos val="nextTo"/>
        <c:spPr>
          <a:ln w="3175">
            <a:solidFill>
              <a:srgbClr val="C1C2C3"/>
            </a:solidFill>
            <a:prstDash val="solid"/>
          </a:ln>
        </c:spPr>
        <c:txPr>
          <a:bodyPr rot="0" vert="horz"/>
          <a:lstStyle/>
          <a:p>
            <a:pPr>
              <a:defRPr sz="800" b="0" i="0" u="none" strike="noStrike" baseline="0">
                <a:solidFill>
                  <a:srgbClr val="000000"/>
                </a:solidFill>
                <a:latin typeface="Times New Roman"/>
                <a:ea typeface="Times New Roman"/>
                <a:cs typeface="Times New Roman"/>
              </a:defRPr>
            </a:pPr>
            <a:endParaRPr lang="zh-CN"/>
          </a:p>
        </c:txPr>
        <c:crossAx val="289608448"/>
        <c:crosses val="autoZero"/>
        <c:crossBetween val="between"/>
      </c:valAx>
      <c:spPr>
        <a:noFill/>
        <a:ln w="25400">
          <a:noFill/>
        </a:ln>
      </c:spPr>
    </c:plotArea>
    <c:legend>
      <c:legendPos val="b"/>
      <c:layout>
        <c:manualLayout>
          <c:xMode val="edge"/>
          <c:yMode val="edge"/>
          <c:x val="0"/>
          <c:y val="0.87272918157957513"/>
          <c:w val="0.99887766554433222"/>
          <c:h val="0.12727081842042476"/>
        </c:manualLayout>
      </c:layout>
      <c:overlay val="0"/>
      <c:spPr>
        <a:noFill/>
        <a:ln w="25400">
          <a:noFill/>
        </a:ln>
      </c:spPr>
      <c:txPr>
        <a:bodyPr/>
        <a:lstStyle/>
        <a:p>
          <a:pPr>
            <a:defRPr sz="735" b="0" i="0" u="none" strike="noStrike" baseline="0">
              <a:solidFill>
                <a:srgbClr val="000000"/>
              </a:solidFill>
              <a:latin typeface="Times New Roman"/>
              <a:ea typeface="Times New Roman"/>
              <a:cs typeface="Times New Roman"/>
            </a:defRPr>
          </a:pPr>
          <a:endParaRPr lang="zh-CN"/>
        </a:p>
      </c:txPr>
    </c:legend>
    <c:plotVisOnly val="1"/>
    <c:dispBlanksAs val="gap"/>
    <c:showDLblsOverMax val="0"/>
  </c:chart>
  <c:spPr>
    <a:solidFill>
      <a:srgbClr val="FFFFFF"/>
    </a:solidFill>
    <a:ln w="9525">
      <a:noFill/>
    </a:ln>
  </c:spPr>
  <c:txPr>
    <a:bodyPr/>
    <a:lstStyle/>
    <a:p>
      <a:pPr>
        <a:defRPr sz="800" b="0" i="0" u="none" strike="noStrike" baseline="0">
          <a:solidFill>
            <a:srgbClr val="000000"/>
          </a:solidFill>
          <a:latin typeface="Times New Roman"/>
          <a:ea typeface="Times New Roman"/>
          <a:cs typeface="Times New Roman"/>
        </a:defRPr>
      </a:pPr>
      <a:endParaRPr lang="zh-CN"/>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6072657584468608"/>
          <c:y val="5.4522924411400248E-2"/>
          <c:w val="0.7165221014039912"/>
          <c:h val="0.60383143556869523"/>
        </c:manualLayout>
      </c:layout>
      <c:lineChart>
        <c:grouping val="standard"/>
        <c:varyColors val="0"/>
        <c:ser>
          <c:idx val="0"/>
          <c:order val="0"/>
          <c:tx>
            <c:strRef>
              <c:f>Sheet2!$B$1</c:f>
              <c:strCache>
                <c:ptCount val="1"/>
                <c:pt idx="0">
                  <c:v>GDP:同比</c:v>
                </c:pt>
              </c:strCache>
            </c:strRef>
          </c:tx>
          <c:marker>
            <c:symbol val="none"/>
          </c:marker>
          <c:cat>
            <c:numRef>
              <c:f>Sheet2!$A$2:$A$9</c:f>
              <c:numCache>
                <c:formatCode>General</c:formatCode>
                <c:ptCount val="8"/>
                <c:pt idx="0">
                  <c:v>2008</c:v>
                </c:pt>
                <c:pt idx="1">
                  <c:v>2009</c:v>
                </c:pt>
                <c:pt idx="2">
                  <c:v>2010</c:v>
                </c:pt>
                <c:pt idx="3">
                  <c:v>2011</c:v>
                </c:pt>
                <c:pt idx="4">
                  <c:v>2012</c:v>
                </c:pt>
                <c:pt idx="5">
                  <c:v>2013</c:v>
                </c:pt>
                <c:pt idx="6">
                  <c:v>2014</c:v>
                </c:pt>
                <c:pt idx="7">
                  <c:v>2015</c:v>
                </c:pt>
              </c:numCache>
            </c:numRef>
          </c:cat>
          <c:val>
            <c:numRef>
              <c:f>Sheet2!$B$2:$B$9</c:f>
              <c:numCache>
                <c:formatCode>###,###,###,###,##0.00</c:formatCode>
                <c:ptCount val="8"/>
                <c:pt idx="0">
                  <c:v>9.6000000000000002E-2</c:v>
                </c:pt>
                <c:pt idx="1">
                  <c:v>9.1999999999999998E-2</c:v>
                </c:pt>
                <c:pt idx="2">
                  <c:v>0.106</c:v>
                </c:pt>
                <c:pt idx="3">
                  <c:v>9.5000000000000001E-2</c:v>
                </c:pt>
                <c:pt idx="4">
                  <c:v>7.6999999999999999E-2</c:v>
                </c:pt>
                <c:pt idx="5">
                  <c:v>7.6999999999999999E-2</c:v>
                </c:pt>
                <c:pt idx="6">
                  <c:v>7.2999999999999995E-2</c:v>
                </c:pt>
                <c:pt idx="7">
                  <c:v>6.9000000000000006E-2</c:v>
                </c:pt>
              </c:numCache>
            </c:numRef>
          </c:val>
          <c:smooth val="0"/>
        </c:ser>
        <c:ser>
          <c:idx val="1"/>
          <c:order val="1"/>
          <c:tx>
            <c:strRef>
              <c:f>Sheet2!$C$1</c:f>
              <c:strCache>
                <c:ptCount val="1"/>
                <c:pt idx="0">
                  <c:v>公共财政收入:累计同比</c:v>
                </c:pt>
              </c:strCache>
            </c:strRef>
          </c:tx>
          <c:marker>
            <c:symbol val="none"/>
          </c:marker>
          <c:cat>
            <c:numRef>
              <c:f>Sheet2!$A$2:$A$9</c:f>
              <c:numCache>
                <c:formatCode>General</c:formatCode>
                <c:ptCount val="8"/>
                <c:pt idx="0">
                  <c:v>2008</c:v>
                </c:pt>
                <c:pt idx="1">
                  <c:v>2009</c:v>
                </c:pt>
                <c:pt idx="2">
                  <c:v>2010</c:v>
                </c:pt>
                <c:pt idx="3">
                  <c:v>2011</c:v>
                </c:pt>
                <c:pt idx="4">
                  <c:v>2012</c:v>
                </c:pt>
                <c:pt idx="5">
                  <c:v>2013</c:v>
                </c:pt>
                <c:pt idx="6">
                  <c:v>2014</c:v>
                </c:pt>
                <c:pt idx="7">
                  <c:v>2015</c:v>
                </c:pt>
              </c:numCache>
            </c:numRef>
          </c:cat>
          <c:val>
            <c:numRef>
              <c:f>Sheet2!$C$2:$C$9</c:f>
              <c:numCache>
                <c:formatCode>###,###,###,###,##0.00</c:formatCode>
                <c:ptCount val="8"/>
                <c:pt idx="0">
                  <c:v>0.19500000000000001</c:v>
                </c:pt>
                <c:pt idx="1">
                  <c:v>0.11699999999999999</c:v>
                </c:pt>
                <c:pt idx="2">
                  <c:v>0.21299999999999999</c:v>
                </c:pt>
                <c:pt idx="3">
                  <c:v>0.248</c:v>
                </c:pt>
                <c:pt idx="4">
                  <c:v>0.128</c:v>
                </c:pt>
                <c:pt idx="5">
                  <c:v>0.10099999999999999</c:v>
                </c:pt>
                <c:pt idx="6">
                  <c:v>8.5999999999999993E-2</c:v>
                </c:pt>
                <c:pt idx="7">
                  <c:v>5.7999999999999996E-2</c:v>
                </c:pt>
              </c:numCache>
            </c:numRef>
          </c:val>
          <c:smooth val="0"/>
        </c:ser>
        <c:ser>
          <c:idx val="2"/>
          <c:order val="2"/>
          <c:tx>
            <c:strRef>
              <c:f>Sheet2!$D$1</c:f>
              <c:strCache>
                <c:ptCount val="1"/>
                <c:pt idx="0">
                  <c:v>税收收入:累计同比</c:v>
                </c:pt>
              </c:strCache>
            </c:strRef>
          </c:tx>
          <c:marker>
            <c:symbol val="none"/>
          </c:marker>
          <c:cat>
            <c:numRef>
              <c:f>Sheet2!$A$2:$A$9</c:f>
              <c:numCache>
                <c:formatCode>General</c:formatCode>
                <c:ptCount val="8"/>
                <c:pt idx="0">
                  <c:v>2008</c:v>
                </c:pt>
                <c:pt idx="1">
                  <c:v>2009</c:v>
                </c:pt>
                <c:pt idx="2">
                  <c:v>2010</c:v>
                </c:pt>
                <c:pt idx="3">
                  <c:v>2011</c:v>
                </c:pt>
                <c:pt idx="4">
                  <c:v>2012</c:v>
                </c:pt>
                <c:pt idx="5">
                  <c:v>2013</c:v>
                </c:pt>
                <c:pt idx="6">
                  <c:v>2014</c:v>
                </c:pt>
                <c:pt idx="7">
                  <c:v>2015</c:v>
                </c:pt>
              </c:numCache>
            </c:numRef>
          </c:cat>
          <c:val>
            <c:numRef>
              <c:f>Sheet2!$D$2:$D$9</c:f>
              <c:numCache>
                <c:formatCode>###,###,###,###,##0.00</c:formatCode>
                <c:ptCount val="8"/>
                <c:pt idx="0">
                  <c:v>0.188</c:v>
                </c:pt>
                <c:pt idx="1">
                  <c:v>9.8000000000000004E-2</c:v>
                </c:pt>
                <c:pt idx="2">
                  <c:v>0.23</c:v>
                </c:pt>
                <c:pt idx="3">
                  <c:v>0.22600000000000001</c:v>
                </c:pt>
                <c:pt idx="4">
                  <c:v>0.121</c:v>
                </c:pt>
                <c:pt idx="5">
                  <c:v>9.8000000000000004E-2</c:v>
                </c:pt>
                <c:pt idx="6">
                  <c:v>7.8E-2</c:v>
                </c:pt>
                <c:pt idx="7">
                  <c:v>4.8000000000000001E-2</c:v>
                </c:pt>
              </c:numCache>
            </c:numRef>
          </c:val>
          <c:smooth val="0"/>
        </c:ser>
        <c:dLbls>
          <c:showLegendKey val="0"/>
          <c:showVal val="0"/>
          <c:showCatName val="0"/>
          <c:showSerName val="0"/>
          <c:showPercent val="0"/>
          <c:showBubbleSize val="0"/>
        </c:dLbls>
        <c:marker val="1"/>
        <c:smooth val="0"/>
        <c:axId val="289652096"/>
        <c:axId val="289653888"/>
      </c:lineChart>
      <c:catAx>
        <c:axId val="289652096"/>
        <c:scaling>
          <c:orientation val="minMax"/>
        </c:scaling>
        <c:delete val="0"/>
        <c:axPos val="b"/>
        <c:numFmt formatCode="General" sourceLinked="1"/>
        <c:majorTickMark val="out"/>
        <c:minorTickMark val="none"/>
        <c:tickLblPos val="nextTo"/>
        <c:txPr>
          <a:bodyPr/>
          <a:lstStyle/>
          <a:p>
            <a:pPr>
              <a:defRPr sz="800">
                <a:latin typeface="Times New Roman" pitchFamily="18" charset="0"/>
                <a:cs typeface="Times New Roman" pitchFamily="18" charset="0"/>
              </a:defRPr>
            </a:pPr>
            <a:endParaRPr lang="zh-CN"/>
          </a:p>
        </c:txPr>
        <c:crossAx val="289653888"/>
        <c:crosses val="autoZero"/>
        <c:auto val="1"/>
        <c:lblAlgn val="ctr"/>
        <c:lblOffset val="100"/>
        <c:noMultiLvlLbl val="0"/>
      </c:catAx>
      <c:valAx>
        <c:axId val="289653888"/>
        <c:scaling>
          <c:orientation val="minMax"/>
          <c:max val="0.25"/>
        </c:scaling>
        <c:delete val="0"/>
        <c:axPos val="l"/>
        <c:majorGridlines>
          <c:spPr>
            <a:ln>
              <a:prstDash val="sysDash"/>
            </a:ln>
          </c:spPr>
        </c:majorGridlines>
        <c:numFmt formatCode="0.00%" sourceLinked="0"/>
        <c:majorTickMark val="out"/>
        <c:minorTickMark val="none"/>
        <c:tickLblPos val="nextTo"/>
        <c:txPr>
          <a:bodyPr/>
          <a:lstStyle/>
          <a:p>
            <a:pPr>
              <a:defRPr sz="800">
                <a:latin typeface="Times New Roman" pitchFamily="18" charset="0"/>
                <a:cs typeface="Times New Roman" pitchFamily="18" charset="0"/>
              </a:defRPr>
            </a:pPr>
            <a:endParaRPr lang="zh-CN"/>
          </a:p>
        </c:txPr>
        <c:crossAx val="289652096"/>
        <c:crosses val="autoZero"/>
        <c:crossBetween val="between"/>
      </c:valAx>
      <c:spPr>
        <a:ln>
          <a:prstDash val="sysDot"/>
        </a:ln>
      </c:spPr>
    </c:plotArea>
    <c:legend>
      <c:legendPos val="b"/>
      <c:layout>
        <c:manualLayout>
          <c:xMode val="edge"/>
          <c:yMode val="edge"/>
          <c:x val="7.9664570230607967E-2"/>
          <c:y val="0.7890190595334462"/>
          <c:w val="0.88467158586308792"/>
          <c:h val="0.20812535979470967"/>
        </c:manualLayout>
      </c:layout>
      <c:overlay val="0"/>
      <c:txPr>
        <a:bodyPr/>
        <a:lstStyle/>
        <a:p>
          <a:pPr>
            <a:defRPr sz="800">
              <a:latin typeface="Times New Roman" pitchFamily="18" charset="0"/>
              <a:cs typeface="Times New Roman" pitchFamily="18" charset="0"/>
            </a:defRPr>
          </a:pPr>
          <a:endParaRPr lang="zh-CN"/>
        </a:p>
      </c:txPr>
    </c:legend>
    <c:plotVisOnly val="1"/>
    <c:dispBlanksAs val="gap"/>
    <c:showDLblsOverMax val="0"/>
  </c:chart>
  <c:spPr>
    <a:ln>
      <a:noFill/>
    </a:ln>
  </c:spPr>
  <c:externalData r:id="rId1">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8A4E7F-2C63-4313-97FC-82DC9693BD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ccrc评级报告模板</Template>
  <TotalTime>414</TotalTime>
  <Pages>19</Pages>
  <Words>3173</Words>
  <Characters>18087</Characters>
  <Application>Microsoft Office Word</Application>
  <DocSecurity>0</DocSecurity>
  <Lines>150</Lines>
  <Paragraphs>42</Paragraphs>
  <ScaleCrop>false</ScaleCrop>
  <Company>Lenovo</Company>
  <LinksUpToDate>false</LinksUpToDate>
  <CharactersWithSpaces>21218</CharactersWithSpaces>
  <SharedDoc>false</SharedDoc>
  <HLinks>
    <vt:vector size="30" baseType="variant">
      <vt:variant>
        <vt:i4>3211346</vt:i4>
      </vt:variant>
      <vt:variant>
        <vt:i4>12</vt:i4>
      </vt:variant>
      <vt:variant>
        <vt:i4>0</vt:i4>
      </vt:variant>
      <vt:variant>
        <vt:i4>5</vt:i4>
      </vt:variant>
      <vt:variant>
        <vt:lpwstr>mailto:cs@chinaratings.com.cn</vt:lpwstr>
      </vt:variant>
      <vt:variant>
        <vt:lpwstr/>
      </vt:variant>
      <vt:variant>
        <vt:i4>5308451</vt:i4>
      </vt:variant>
      <vt:variant>
        <vt:i4>9</vt:i4>
      </vt:variant>
      <vt:variant>
        <vt:i4>0</vt:i4>
      </vt:variant>
      <vt:variant>
        <vt:i4>5</vt:i4>
      </vt:variant>
      <vt:variant>
        <vt:lpwstr>mailto:mengjingjing@chinaratings.com.cn</vt:lpwstr>
      </vt:variant>
      <vt:variant>
        <vt:lpwstr/>
      </vt:variant>
      <vt:variant>
        <vt:i4>786536</vt:i4>
      </vt:variant>
      <vt:variant>
        <vt:i4>6</vt:i4>
      </vt:variant>
      <vt:variant>
        <vt:i4>0</vt:i4>
      </vt:variant>
      <vt:variant>
        <vt:i4>5</vt:i4>
      </vt:variant>
      <vt:variant>
        <vt:lpwstr>mailto:zhuzhibin@chinaratings.com.cn</vt:lpwstr>
      </vt:variant>
      <vt:variant>
        <vt:lpwstr/>
      </vt:variant>
      <vt:variant>
        <vt:i4>4915249</vt:i4>
      </vt:variant>
      <vt:variant>
        <vt:i4>3</vt:i4>
      </vt:variant>
      <vt:variant>
        <vt:i4>0</vt:i4>
      </vt:variant>
      <vt:variant>
        <vt:i4>5</vt:i4>
      </vt:variant>
      <vt:variant>
        <vt:lpwstr>mailto:liuyanan@chinaratings.com.cn</vt:lpwstr>
      </vt:variant>
      <vt:variant>
        <vt:lpwstr/>
      </vt:variant>
      <vt:variant>
        <vt:i4>589929</vt:i4>
      </vt:variant>
      <vt:variant>
        <vt:i4>0</vt:i4>
      </vt:variant>
      <vt:variant>
        <vt:i4>0</vt:i4>
      </vt:variant>
      <vt:variant>
        <vt:i4>5</vt:i4>
      </vt:variant>
      <vt:variant>
        <vt:lpwstr>mailto:huozhihui@chinaratings.com.cn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姜克</dc:creator>
  <cp:lastModifiedBy>user</cp:lastModifiedBy>
  <cp:revision>51</cp:revision>
  <cp:lastPrinted>2016-03-07T07:10:00Z</cp:lastPrinted>
  <dcterms:created xsi:type="dcterms:W3CDTF">2016-03-02T08:47:00Z</dcterms:created>
  <dcterms:modified xsi:type="dcterms:W3CDTF">2016-03-07T10:14:00Z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192013005</vt:i4>
  </property>
</Properties>
</file>