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附件</w:t>
      </w:r>
    </w:p>
    <w:p>
      <w:pPr>
        <w:pStyle w:val="5"/>
        <w:widowControl/>
        <w:spacing w:beforeAutospacing="0" w:afterAutospacing="0" w:line="240" w:lineRule="auto"/>
        <w:jc w:val="center"/>
        <w:rPr>
          <w:rStyle w:val="8"/>
          <w:rFonts w:hint="eastAsia"/>
          <w:color w:val="333333"/>
          <w:sz w:val="32"/>
          <w:szCs w:val="32"/>
          <w:shd w:val="clear" w:color="auto" w:fill="FFFFFF"/>
        </w:rPr>
      </w:pPr>
      <w:r>
        <w:rPr>
          <w:rStyle w:val="8"/>
          <w:rFonts w:hint="eastAsia" w:ascii="宋体" w:hAnsi="宋体" w:eastAsia="宋体" w:cs="宋体"/>
          <w:color w:val="333333"/>
          <w:sz w:val="32"/>
          <w:szCs w:val="32"/>
          <w:shd w:val="clear" w:color="auto" w:fill="FFFFFF"/>
        </w:rPr>
        <w:t>江苏省农村综合改革转移支付管理办法</w:t>
      </w:r>
      <w:r>
        <w:rPr>
          <w:rStyle w:val="8"/>
          <w:rFonts w:ascii="宋体" w:hAnsi="宋体" w:eastAsia="宋体" w:cs="宋体"/>
          <w:color w:val="333333"/>
          <w:sz w:val="32"/>
          <w:szCs w:val="32"/>
          <w:shd w:val="clear" w:color="auto" w:fill="FFFFFF"/>
        </w:rPr>
        <w:t>（征求意见稿）</w:t>
      </w:r>
      <w:bookmarkStart w:id="0" w:name="_GoBack"/>
      <w:bookmarkEnd w:id="0"/>
    </w:p>
    <w:p>
      <w:pPr>
        <w:pStyle w:val="5"/>
        <w:widowControl/>
        <w:spacing w:beforeAutospacing="0" w:afterAutospacing="0" w:line="22" w:lineRule="atLeast"/>
        <w:jc w:val="center"/>
        <w:rPr>
          <w:rStyle w:val="8"/>
          <w:rFonts w:ascii="宋体" w:hAnsi="宋体" w:eastAsia="宋体" w:cs="宋体"/>
          <w:color w:val="333333"/>
          <w:sz w:val="32"/>
          <w:szCs w:val="32"/>
          <w:shd w:val="clear" w:color="auto" w:fill="FFFFFF"/>
        </w:rPr>
      </w:pPr>
    </w:p>
    <w:p>
      <w:pPr>
        <w:pStyle w:val="5"/>
        <w:widowControl/>
        <w:numPr>
          <w:ilvl w:val="0"/>
          <w:numId w:val="1"/>
        </w:numPr>
        <w:spacing w:beforeAutospacing="0" w:afterAutospacing="0" w:line="22" w:lineRule="atLeast"/>
        <w:jc w:val="center"/>
        <w:rPr>
          <w:rStyle w:val="8"/>
          <w:rFonts w:ascii="宋体" w:hAnsi="宋体" w:eastAsia="宋体" w:cs="宋体"/>
          <w:color w:val="333333"/>
          <w:sz w:val="32"/>
          <w:szCs w:val="32"/>
          <w:shd w:val="clear" w:color="auto" w:fill="FFFFFF"/>
        </w:rPr>
      </w:pPr>
      <w:r>
        <w:rPr>
          <w:rStyle w:val="8"/>
          <w:rFonts w:hint="eastAsia" w:ascii="宋体" w:hAnsi="宋体" w:eastAsia="宋体" w:cs="宋体"/>
          <w:color w:val="333333"/>
          <w:sz w:val="32"/>
          <w:szCs w:val="32"/>
          <w:shd w:val="clear" w:color="auto" w:fill="FFFFFF"/>
        </w:rPr>
        <w:t> 总 则</w:t>
      </w:r>
    </w:p>
    <w:p>
      <w:pPr>
        <w:pStyle w:val="5"/>
        <w:widowControl/>
        <w:spacing w:beforeAutospacing="0" w:afterAutospacing="0" w:line="22" w:lineRule="atLeast"/>
        <w:jc w:val="both"/>
        <w:rPr>
          <w:rStyle w:val="8"/>
          <w:rFonts w:ascii="宋体" w:hAnsi="宋体" w:eastAsia="宋体" w:cs="宋体"/>
          <w:color w:val="333333"/>
          <w:sz w:val="32"/>
          <w:szCs w:val="32"/>
          <w:shd w:val="clear" w:color="auto" w:fill="FFFFFF"/>
        </w:rPr>
      </w:pP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第一条 为加强农村综合改革转移支付管理，提高资金使用效益，推动落实党中央、国务院和省委省政府有关农村综合改革发展重大决策部署，贯彻《中国共产党农村工作条例》有关要求，根据《中华人民共和国预算法》《中华人民共和国预算法实施条例》《江苏省省级财政专项资金管理办法》和财政部《农村综合改革转移支付管理办法》等有关规定，制定本办法。</w:t>
      </w:r>
    </w:p>
    <w:p>
      <w:pPr>
        <w:pStyle w:val="5"/>
        <w:widowControl/>
        <w:spacing w:beforeAutospacing="0" w:afterAutospacing="0" w:line="22" w:lineRule="atLeast"/>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　　第二条 本办法所称农村综合改革转移支付是指中央和省级财政安排用于支持农村综合改革发展工作、补助市县的专项转移支付。</w:t>
      </w: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第三条 省财政厅组织农村综合改革转移支付预算的编制和执行，组织开展预算绩效管理工作，指导各地加强资金管理等相关工作。各地财政部门负责农村综合改革转移支付预算下达、审核拨付、使用监督、预算绩效管理以及项目组织实施等工作，并对资金使用的合规性和有效性负责。</w:t>
      </w: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第四条 各地应创新农村综合改革转移支付投入和使用方式，积极采用以奖代补、民办公助、先建后补、政府与社会资本合作等方式，引导社会资金参与农村综合改革发展有关事项，放大财政资金使用效能。</w:t>
      </w:r>
    </w:p>
    <w:p>
      <w:pPr>
        <w:pStyle w:val="5"/>
        <w:widowControl/>
        <w:spacing w:beforeAutospacing="0" w:afterAutospacing="0" w:line="22" w:lineRule="atLeast"/>
        <w:ind w:firstLine="640"/>
        <w:rPr>
          <w:rFonts w:ascii="宋体" w:hAnsi="宋体" w:eastAsia="宋体" w:cs="宋体"/>
          <w:color w:val="333333"/>
          <w:sz w:val="32"/>
          <w:szCs w:val="32"/>
          <w:shd w:val="clear" w:color="auto" w:fill="FFFFFF"/>
        </w:rPr>
      </w:pPr>
    </w:p>
    <w:p>
      <w:pPr>
        <w:pStyle w:val="5"/>
        <w:widowControl/>
        <w:numPr>
          <w:ilvl w:val="0"/>
          <w:numId w:val="1"/>
        </w:numPr>
        <w:spacing w:beforeAutospacing="0" w:afterAutospacing="0" w:line="22" w:lineRule="atLeast"/>
        <w:jc w:val="center"/>
        <w:rPr>
          <w:rStyle w:val="8"/>
          <w:rFonts w:ascii="宋体" w:hAnsi="宋体" w:eastAsia="宋体" w:cs="宋体"/>
          <w:color w:val="333333"/>
          <w:sz w:val="32"/>
          <w:szCs w:val="32"/>
          <w:shd w:val="clear" w:color="auto" w:fill="FFFFFF"/>
        </w:rPr>
      </w:pPr>
      <w:r>
        <w:rPr>
          <w:rStyle w:val="8"/>
          <w:rFonts w:hint="eastAsia" w:ascii="宋体" w:hAnsi="宋体" w:eastAsia="宋体" w:cs="宋体"/>
          <w:color w:val="333333"/>
          <w:sz w:val="32"/>
          <w:szCs w:val="32"/>
          <w:shd w:val="clear" w:color="auto" w:fill="FFFFFF"/>
        </w:rPr>
        <w:t>资金使用范围</w:t>
      </w:r>
    </w:p>
    <w:p>
      <w:pPr>
        <w:pStyle w:val="5"/>
        <w:widowControl/>
        <w:spacing w:beforeAutospacing="0" w:afterAutospacing="0" w:line="22" w:lineRule="atLeast"/>
        <w:jc w:val="both"/>
        <w:rPr>
          <w:rStyle w:val="8"/>
          <w:rFonts w:ascii="宋体" w:hAnsi="宋体" w:eastAsia="宋体" w:cs="宋体"/>
          <w:color w:val="333333"/>
          <w:sz w:val="32"/>
          <w:szCs w:val="32"/>
          <w:shd w:val="clear" w:color="auto" w:fill="FFFFFF"/>
        </w:rPr>
      </w:pP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第五条 农村综合改革转移支付用于支持市县开展农村住房条件改善专项行动、农村公益事业建设财政奖补、特色田园乡村建设、村级集体经济发展、农村改革试验区、国有农场综合改革</w:t>
      </w:r>
      <w:r>
        <w:rPr>
          <w:rFonts w:hint="eastAsia" w:ascii="宋体" w:hAnsi="宋体" w:eastAsia="宋体" w:cs="宋体"/>
          <w:sz w:val="32"/>
          <w:szCs w:val="32"/>
        </w:rPr>
        <w:t>、</w:t>
      </w:r>
      <w:r>
        <w:rPr>
          <w:rFonts w:ascii="宋体" w:hAnsi="宋体" w:eastAsia="宋体" w:cs="宋体"/>
          <w:sz w:val="32"/>
          <w:szCs w:val="32"/>
        </w:rPr>
        <w:t>农村综合改革</w:t>
      </w:r>
      <w:r>
        <w:rPr>
          <w:rFonts w:hint="eastAsia" w:ascii="宋体" w:hAnsi="宋体" w:eastAsia="宋体" w:cs="宋体"/>
          <w:sz w:val="32"/>
          <w:szCs w:val="32"/>
        </w:rPr>
        <w:t>发展相关示范试点</w:t>
      </w:r>
      <w:r>
        <w:rPr>
          <w:rFonts w:ascii="宋体" w:hAnsi="宋体" w:eastAsia="宋体" w:cs="宋体"/>
          <w:sz w:val="32"/>
          <w:szCs w:val="32"/>
        </w:rPr>
        <w:t>等</w:t>
      </w:r>
      <w:r>
        <w:rPr>
          <w:rFonts w:hint="eastAsia" w:ascii="宋体" w:hAnsi="宋体" w:eastAsia="宋体" w:cs="宋体"/>
          <w:color w:val="333333"/>
          <w:sz w:val="32"/>
          <w:szCs w:val="32"/>
          <w:shd w:val="clear" w:color="auto" w:fill="FFFFFF"/>
        </w:rPr>
        <w:t>工作。</w:t>
      </w:r>
    </w:p>
    <w:p>
      <w:pPr>
        <w:widowControl/>
        <w:ind w:firstLine="640" w:firstLineChars="200"/>
        <w:jc w:val="both"/>
        <w:rPr>
          <w:highlight w:val="yellow"/>
        </w:rPr>
      </w:pPr>
      <w:r>
        <w:rPr>
          <w:rFonts w:hint="eastAsia" w:ascii="宋体" w:hAnsi="宋体" w:eastAsia="宋体" w:cs="宋体"/>
          <w:color w:val="333333"/>
          <w:sz w:val="32"/>
          <w:szCs w:val="32"/>
          <w:shd w:val="clear" w:color="auto" w:fill="FFFFFF"/>
        </w:rPr>
        <w:t>第六条 农村住房条件改善专项行动奖补资金用于支持农村住房条件改善专项行动，由地方统筹用于规划发展村庄基础设施和公共服务设施项目建设。</w:t>
      </w: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第七条 农村公益事业建设财政奖补资金用于奖补通过民主程序议定的农村公益事业建设项目，包括村内街巷道路、田间机耕道路、农桥、小型农田水利设施、村容村貌改造、文化体育场所、公共卫生设施等。</w:t>
      </w: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第八条 特色田园乡村资金用于奖补通过评价命名的省级特色田园乡村，由地方统筹用于创建省级特色田园乡村的基础设施建设、公共服务配套、产业发展环境改善、村级集体经济发展、村庄管护等。可以用于奖励已命名的村庄，也可以用于创建新的省级特色田园村。</w:t>
      </w:r>
    </w:p>
    <w:p>
      <w:pPr>
        <w:pStyle w:val="5"/>
        <w:widowControl/>
        <w:spacing w:beforeAutospacing="0" w:afterAutospacing="0" w:line="22" w:lineRule="atLeast"/>
        <w:jc w:val="both"/>
        <w:rPr>
          <w:rFonts w:ascii="宋体" w:hAnsi="宋体" w:eastAsia="宋体" w:cs="宋体"/>
          <w:sz w:val="32"/>
          <w:szCs w:val="32"/>
          <w:highlight w:val="yellow"/>
        </w:rPr>
      </w:pPr>
      <w:r>
        <w:rPr>
          <w:rFonts w:hint="eastAsia" w:ascii="宋体" w:hAnsi="宋体" w:eastAsia="宋体" w:cs="宋体"/>
          <w:color w:val="333333"/>
          <w:sz w:val="32"/>
          <w:szCs w:val="32"/>
          <w:shd w:val="clear" w:color="auto" w:fill="FFFFFF"/>
        </w:rPr>
        <w:t>　　第九条 村级集体经济发展资金用于扶持壮大村级集体经济，支持探索资源利用、提供服务、资产运营、混合经营等多种集体经济实现形式，增强村级集体经济实力，提升农村基层党组织的组织力凝聚力战斗力。</w:t>
      </w:r>
    </w:p>
    <w:p>
      <w:pPr>
        <w:pStyle w:val="5"/>
        <w:widowControl/>
        <w:spacing w:beforeAutospacing="0" w:afterAutospacing="0" w:line="22" w:lineRule="atLeast"/>
        <w:jc w:val="both"/>
        <w:rPr>
          <w:rFonts w:ascii="宋体" w:hAnsi="宋体" w:eastAsia="宋体" w:cs="宋体"/>
          <w:sz w:val="32"/>
          <w:szCs w:val="32"/>
          <w:highlight w:val="yellow"/>
        </w:rPr>
      </w:pPr>
      <w:r>
        <w:rPr>
          <w:rFonts w:hint="eastAsia" w:ascii="宋体" w:hAnsi="宋体" w:eastAsia="宋体" w:cs="宋体"/>
          <w:color w:val="333333"/>
          <w:sz w:val="32"/>
          <w:szCs w:val="32"/>
          <w:shd w:val="clear" w:color="auto" w:fill="FFFFFF"/>
        </w:rPr>
        <w:t xml:space="preserve">　　第十条 </w:t>
      </w:r>
      <w:r>
        <w:rPr>
          <w:rFonts w:hint="eastAsia" w:ascii="宋体" w:hAnsi="宋体" w:eastAsia="宋体" w:cs="宋体"/>
          <w:sz w:val="32"/>
          <w:szCs w:val="32"/>
          <w:shd w:val="clear" w:color="auto" w:fill="FFFFFF"/>
        </w:rPr>
        <w:t>农村改革试验区奖补资金用于支持省农村改革试验区示范试点组织、实施、管理，包括补助改革试验直接成本、统计监测、成果推广、绩效评价等。</w:t>
      </w:r>
    </w:p>
    <w:p>
      <w:pPr>
        <w:pStyle w:val="5"/>
        <w:widowControl/>
        <w:spacing w:beforeAutospacing="0" w:afterAutospacing="0" w:line="22" w:lineRule="atLeast"/>
        <w:ind w:firstLine="640"/>
        <w:jc w:val="both"/>
        <w:rPr>
          <w:rFonts w:ascii="宋体" w:hAnsi="宋体" w:eastAsia="宋体" w:cs="宋体"/>
          <w:color w:val="333333"/>
          <w:sz w:val="32"/>
          <w:szCs w:val="32"/>
          <w:highlight w:val="yellow"/>
          <w:shd w:val="clear" w:color="auto" w:fill="FFFFFF"/>
        </w:rPr>
      </w:pPr>
      <w:r>
        <w:rPr>
          <w:rFonts w:hint="eastAsia" w:ascii="宋体" w:hAnsi="宋体" w:eastAsia="宋体" w:cs="宋体"/>
          <w:color w:val="333333"/>
          <w:sz w:val="32"/>
          <w:szCs w:val="32"/>
          <w:shd w:val="clear" w:color="auto" w:fill="FFFFFF"/>
        </w:rPr>
        <w:t>第十一条 国有农场综合改革资金用于补助国有场职工承担的类似“乡镇五项统筹”负担，支持国有农场公益事业建设。</w:t>
      </w:r>
    </w:p>
    <w:p>
      <w:pPr>
        <w:pStyle w:val="5"/>
        <w:widowControl/>
        <w:spacing w:beforeAutospacing="0" w:afterAutospacing="0" w:line="22" w:lineRule="atLeast"/>
        <w:ind w:firstLine="640"/>
        <w:jc w:val="both"/>
        <w:rPr>
          <w:rFonts w:ascii="宋体" w:hAnsi="宋体" w:eastAsia="宋体" w:cs="宋体"/>
          <w:sz w:val="32"/>
          <w:szCs w:val="32"/>
          <w:highlight w:val="yellow"/>
        </w:rPr>
      </w:pPr>
      <w:r>
        <w:rPr>
          <w:rFonts w:hint="eastAsia" w:ascii="宋体" w:hAnsi="宋体" w:eastAsia="宋体" w:cs="宋体"/>
          <w:color w:val="333333"/>
          <w:sz w:val="32"/>
          <w:szCs w:val="32"/>
          <w:shd w:val="clear" w:color="auto" w:fill="FFFFFF"/>
        </w:rPr>
        <w:t xml:space="preserve">第十二条 </w:t>
      </w:r>
      <w:r>
        <w:rPr>
          <w:rFonts w:hint="eastAsia" w:ascii="宋体" w:hAnsi="宋体" w:eastAsia="宋体" w:cs="宋体"/>
          <w:sz w:val="32"/>
          <w:szCs w:val="32"/>
        </w:rPr>
        <w:t>农村综合改革发展相关示范试点资金用于支持财政部和省委省政府确定的农村综合改革发展相关示范试点工作。</w:t>
      </w:r>
    </w:p>
    <w:p>
      <w:pPr>
        <w:pStyle w:val="5"/>
        <w:widowControl/>
        <w:spacing w:beforeAutospacing="0" w:afterAutospacing="0" w:line="22" w:lineRule="atLeast"/>
        <w:ind w:firstLine="651"/>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第十三条 农村综合改革转移支付不得用于单位基本支出、修建楼堂馆所、偿还债务及其他与农村综合改革无关的支出。</w:t>
      </w:r>
    </w:p>
    <w:p>
      <w:pPr>
        <w:pStyle w:val="5"/>
        <w:widowControl/>
        <w:spacing w:beforeAutospacing="0" w:afterAutospacing="0" w:line="22" w:lineRule="atLeast"/>
        <w:ind w:firstLine="651"/>
        <w:jc w:val="both"/>
        <w:rPr>
          <w:rFonts w:ascii="宋体" w:hAnsi="宋体" w:eastAsia="宋体" w:cs="宋体"/>
          <w:color w:val="333333"/>
          <w:sz w:val="32"/>
          <w:szCs w:val="32"/>
          <w:shd w:val="clear" w:color="auto" w:fill="FFFFFF"/>
        </w:rPr>
      </w:pPr>
    </w:p>
    <w:p>
      <w:pPr>
        <w:pStyle w:val="5"/>
        <w:widowControl/>
        <w:numPr>
          <w:ilvl w:val="0"/>
          <w:numId w:val="1"/>
        </w:numPr>
        <w:spacing w:beforeAutospacing="0" w:afterAutospacing="0" w:line="22" w:lineRule="atLeast"/>
        <w:jc w:val="center"/>
        <w:rPr>
          <w:rStyle w:val="8"/>
          <w:rFonts w:ascii="宋体" w:hAnsi="宋体" w:eastAsia="宋体" w:cs="宋体"/>
          <w:color w:val="333333"/>
          <w:sz w:val="32"/>
          <w:szCs w:val="32"/>
          <w:shd w:val="clear" w:color="auto" w:fill="FFFFFF"/>
        </w:rPr>
      </w:pPr>
      <w:r>
        <w:rPr>
          <w:rStyle w:val="8"/>
          <w:rFonts w:hint="eastAsia" w:ascii="宋体" w:hAnsi="宋体" w:eastAsia="宋体" w:cs="宋体"/>
          <w:color w:val="333333"/>
          <w:sz w:val="32"/>
          <w:szCs w:val="32"/>
          <w:shd w:val="clear" w:color="auto" w:fill="FFFFFF"/>
        </w:rPr>
        <w:t>资金测算分配</w:t>
      </w:r>
    </w:p>
    <w:p>
      <w:pPr>
        <w:pStyle w:val="5"/>
        <w:widowControl/>
        <w:spacing w:beforeAutospacing="0" w:afterAutospacing="0" w:line="22" w:lineRule="atLeast"/>
        <w:jc w:val="both"/>
        <w:rPr>
          <w:rStyle w:val="8"/>
          <w:rFonts w:ascii="宋体" w:hAnsi="宋体" w:eastAsia="宋体" w:cs="宋体"/>
          <w:color w:val="333333"/>
          <w:sz w:val="32"/>
          <w:szCs w:val="32"/>
          <w:shd w:val="clear" w:color="auto" w:fill="FFFFFF"/>
        </w:rPr>
      </w:pPr>
    </w:p>
    <w:p>
      <w:pPr>
        <w:pStyle w:val="5"/>
        <w:widowControl/>
        <w:spacing w:beforeAutospacing="0" w:afterAutospacing="0" w:line="22" w:lineRule="atLeast"/>
        <w:ind w:firstLine="651"/>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第十四条 农村综合改革转移支付分配遵循规范、公正、公开的原则，主要采用因素法分配,并根据绩效评价结果适当调节。对一般公共预算保障农村综合改革情况较好、推进农村综合改革成效较为明显的地区，列入农村综合改革发展相关示范试点等支出方向。</w:t>
      </w:r>
    </w:p>
    <w:p>
      <w:pPr>
        <w:pStyle w:val="5"/>
        <w:widowControl/>
        <w:spacing w:beforeAutospacing="0" w:afterAutospacing="0" w:line="22" w:lineRule="atLeast"/>
        <w:ind w:firstLine="651"/>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各支出方向分配因素如下：</w:t>
      </w:r>
    </w:p>
    <w:p>
      <w:pPr>
        <w:pStyle w:val="5"/>
        <w:widowControl/>
        <w:spacing w:beforeAutospacing="0" w:afterAutospacing="0" w:line="22" w:lineRule="atLeast"/>
        <w:ind w:firstLine="651"/>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农村住房条件改善专项行动奖补资金分配因素包括农村住房条件改善户数、财政综合保障能力分类分档、是否为中央产粮大县、农村低收入群体危房改造及其他群体 D 级危房消险解危户数。</w:t>
      </w:r>
    </w:p>
    <w:p>
      <w:pPr>
        <w:pStyle w:val="5"/>
        <w:widowControl/>
        <w:spacing w:beforeAutospacing="0" w:afterAutospacing="0" w:line="22" w:lineRule="atLeast"/>
        <w:ind w:firstLine="665"/>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农村公益事业建设财政奖补资金分配因素包括本级财政投入、财政保障能力分类分档和农业人口数。</w:t>
      </w:r>
    </w:p>
    <w:p>
      <w:pPr>
        <w:pStyle w:val="5"/>
        <w:widowControl/>
        <w:spacing w:beforeAutospacing="0" w:afterAutospacing="0" w:line="22" w:lineRule="atLeast"/>
        <w:ind w:firstLine="665"/>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特色田园乡村建设资金按村庄户数定额奖补，分苏南、苏中、苏北地区设调节系数进行适当调节。</w:t>
      </w:r>
      <w:r>
        <w:rPr>
          <w:rFonts w:hint="eastAsia" w:ascii="宋体" w:hAnsi="宋体" w:eastAsia="宋体" w:cs="宋体"/>
          <w:sz w:val="32"/>
          <w:szCs w:val="32"/>
          <w:shd w:val="clear" w:color="auto" w:fill="FFFFFF"/>
        </w:rPr>
        <w:t>实行先建后补、以奖代补</w:t>
      </w:r>
      <w:r>
        <w:rPr>
          <w:rFonts w:hint="eastAsia" w:ascii="宋体" w:hAnsi="宋体" w:eastAsia="宋体" w:cs="宋体"/>
          <w:color w:val="333333"/>
          <w:sz w:val="32"/>
          <w:szCs w:val="32"/>
          <w:shd w:val="clear" w:color="auto" w:fill="FFFFFF"/>
        </w:rPr>
        <w:t>。往年已享受过省级财政奖补政策的(包括村庄建设与环境整治省级试点、美丽乡村建设省级示范项目等),按照核定补助标准的5O%奖补。</w:t>
      </w:r>
    </w:p>
    <w:p>
      <w:pPr>
        <w:pStyle w:val="5"/>
        <w:widowControl/>
        <w:spacing w:beforeAutospacing="0" w:afterAutospacing="0" w:line="22" w:lineRule="atLeast"/>
        <w:ind w:firstLine="665"/>
        <w:jc w:val="both"/>
        <w:rPr>
          <w:rFonts w:ascii="宋体" w:hAnsi="宋体" w:eastAsia="宋体" w:cs="宋体"/>
          <w:sz w:val="32"/>
          <w:szCs w:val="32"/>
          <w:highlight w:val="yellow"/>
          <w:shd w:val="clear" w:color="auto" w:fill="FFFFFF"/>
        </w:rPr>
      </w:pPr>
      <w:r>
        <w:rPr>
          <w:rFonts w:hint="eastAsia" w:ascii="宋体" w:hAnsi="宋体" w:eastAsia="宋体" w:cs="宋体"/>
          <w:sz w:val="32"/>
          <w:szCs w:val="32"/>
          <w:shd w:val="clear" w:color="auto" w:fill="FFFFFF"/>
        </w:rPr>
        <w:t>农村改革试验区奖补资金按照试验任务的项目数、工作量和实效等因素分配。</w:t>
      </w:r>
    </w:p>
    <w:p>
      <w:pPr>
        <w:pStyle w:val="5"/>
        <w:widowControl/>
        <w:spacing w:beforeAutospacing="0" w:afterAutospacing="0" w:line="22" w:lineRule="atLeast"/>
        <w:ind w:firstLine="652"/>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村级集体经济发展资金按照扶持村个数定额分配。</w:t>
      </w:r>
    </w:p>
    <w:p>
      <w:pPr>
        <w:pStyle w:val="5"/>
        <w:widowControl/>
        <w:spacing w:beforeAutospacing="0" w:afterAutospacing="0" w:line="22" w:lineRule="atLeast"/>
        <w:ind w:firstLine="652"/>
        <w:jc w:val="both"/>
        <w:rPr>
          <w:rFonts w:ascii="宋体" w:hAnsi="宋体" w:eastAsia="宋体" w:cs="宋体"/>
          <w:color w:val="333333"/>
          <w:sz w:val="32"/>
          <w:szCs w:val="32"/>
          <w:highlight w:val="yellow"/>
          <w:shd w:val="clear" w:color="auto" w:fill="FFFFFF"/>
        </w:rPr>
      </w:pPr>
      <w:r>
        <w:rPr>
          <w:rFonts w:hint="eastAsia" w:ascii="宋体" w:hAnsi="宋体" w:eastAsia="宋体" w:cs="宋体"/>
          <w:color w:val="333333"/>
          <w:sz w:val="32"/>
          <w:szCs w:val="32"/>
          <w:shd w:val="clear" w:color="auto" w:fill="FFFFFF"/>
        </w:rPr>
        <w:t>国有农场综合改革资金按照</w:t>
      </w:r>
      <w:r>
        <w:rPr>
          <w:rFonts w:hint="eastAsia" w:ascii="宋体" w:hAnsi="宋体" w:eastAsia="宋体" w:cs="宋体"/>
          <w:color w:val="333333"/>
          <w:sz w:val="32"/>
          <w:szCs w:val="32"/>
          <w:shd w:val="clear" w:color="auto" w:fill="FFFFFF"/>
          <w:lang w:val="en-US" w:eastAsia="zh-CN"/>
        </w:rPr>
        <w:t>当年职工人数、农用资源等</w:t>
      </w:r>
      <w:r>
        <w:rPr>
          <w:rFonts w:hint="eastAsia" w:ascii="宋体" w:hAnsi="宋体" w:eastAsia="宋体" w:cs="宋体"/>
          <w:color w:val="333333"/>
          <w:sz w:val="32"/>
          <w:szCs w:val="32"/>
          <w:shd w:val="clear" w:color="auto" w:fill="FFFFFF"/>
        </w:rPr>
        <w:t>因素分配。对市县国有农场的补助，纳入省对市县转移支付基数，实行总额包干。对省属国有农场职工个人补助按实有应享受人数补助，每年动态调整；对省属国有农场公益事业建设给予适当补助。</w:t>
      </w:r>
    </w:p>
    <w:p>
      <w:pPr>
        <w:pStyle w:val="5"/>
        <w:widowControl/>
        <w:spacing w:beforeAutospacing="0" w:afterAutospacing="0" w:line="22" w:lineRule="atLeast"/>
        <w:ind w:firstLine="652"/>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对承担财政部和省级农村综合改革相关示范试点任务的地区，按财政部和省有关规定予以定额补助。</w:t>
      </w:r>
    </w:p>
    <w:p>
      <w:pPr>
        <w:pStyle w:val="5"/>
        <w:widowControl/>
        <w:spacing w:beforeAutospacing="0" w:afterAutospacing="0" w:line="22" w:lineRule="atLeast"/>
        <w:ind w:firstLine="652"/>
        <w:jc w:val="both"/>
        <w:rPr>
          <w:rFonts w:ascii="宋体" w:hAnsi="宋体" w:eastAsia="宋体" w:cs="宋体"/>
          <w:color w:val="333333"/>
          <w:sz w:val="32"/>
          <w:szCs w:val="32"/>
          <w:shd w:val="clear" w:color="auto" w:fill="FFFFFF"/>
        </w:rPr>
      </w:pPr>
    </w:p>
    <w:p>
      <w:pPr>
        <w:pStyle w:val="5"/>
        <w:widowControl/>
        <w:numPr>
          <w:ilvl w:val="0"/>
          <w:numId w:val="1"/>
        </w:numPr>
        <w:spacing w:beforeAutospacing="0" w:afterAutospacing="0" w:line="22" w:lineRule="atLeast"/>
        <w:jc w:val="center"/>
        <w:rPr>
          <w:rStyle w:val="8"/>
          <w:rFonts w:ascii="宋体" w:hAnsi="宋体" w:eastAsia="宋体" w:cs="宋体"/>
          <w:color w:val="333333"/>
          <w:sz w:val="32"/>
          <w:szCs w:val="32"/>
          <w:shd w:val="clear" w:color="auto" w:fill="FFFFFF"/>
        </w:rPr>
      </w:pPr>
      <w:r>
        <w:rPr>
          <w:rStyle w:val="8"/>
          <w:rFonts w:hint="eastAsia" w:ascii="宋体" w:hAnsi="宋体" w:eastAsia="宋体" w:cs="宋体"/>
          <w:color w:val="333333"/>
          <w:sz w:val="32"/>
          <w:szCs w:val="32"/>
          <w:shd w:val="clear" w:color="auto" w:fill="FFFFFF"/>
        </w:rPr>
        <w:t>预算执行和监督</w:t>
      </w:r>
    </w:p>
    <w:p>
      <w:pPr>
        <w:pStyle w:val="5"/>
        <w:widowControl/>
        <w:spacing w:beforeAutospacing="0" w:afterAutospacing="0" w:line="22" w:lineRule="atLeast"/>
        <w:jc w:val="both"/>
        <w:rPr>
          <w:rStyle w:val="8"/>
          <w:rFonts w:ascii="宋体" w:hAnsi="宋体" w:eastAsia="宋体" w:cs="宋体"/>
          <w:color w:val="333333"/>
          <w:sz w:val="32"/>
          <w:szCs w:val="32"/>
          <w:shd w:val="clear" w:color="auto" w:fill="FFFFFF"/>
        </w:rPr>
      </w:pP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第十五条 农村综合改革转移支付的使用应当按照国库集中支付制度有关规定执行，属于政府采购管理范围的，按照政府采购有关规定执行。</w:t>
      </w:r>
    </w:p>
    <w:p>
      <w:pPr>
        <w:pStyle w:val="5"/>
        <w:widowControl/>
        <w:spacing w:beforeAutospacing="0" w:afterAutospacing="0" w:line="22" w:lineRule="atLeast"/>
        <w:rPr>
          <w:rFonts w:ascii="宋体" w:hAnsi="宋体" w:eastAsia="宋体" w:cs="宋体"/>
          <w:sz w:val="32"/>
          <w:szCs w:val="32"/>
        </w:rPr>
      </w:pPr>
      <w:r>
        <w:rPr>
          <w:rFonts w:hint="eastAsia" w:ascii="宋体" w:hAnsi="宋体" w:eastAsia="宋体" w:cs="宋体"/>
          <w:color w:val="333333"/>
          <w:sz w:val="32"/>
          <w:szCs w:val="32"/>
          <w:shd w:val="clear" w:color="auto" w:fill="FFFFFF"/>
        </w:rPr>
        <w:t>　　第十六条 各地财政部门应加强农村综合改革转移支付管理，自觉依法接受审计监督和财政监督。</w:t>
      </w: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第十七条 各地财政部门督促资金使用单位对照绩效目标做好绩效监控，按要求组织开展上年度绩效评价，对绩效评价中发现的问题及时组织整改。省财政厅对各地绩效评价结果进行审核，形成整体绩效目标评价结果，根据需要组织开展重点绩效评价，并对绩效评价结果采取适当方式进行通报。</w:t>
      </w: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第十八条 各地财政部门要按照全面实施预算绩效管理的要求，建立健全全过程预算绩效管理机制，将评价结果作为预算安排、改进管理、完善政策的重要依据。</w:t>
      </w:r>
    </w:p>
    <w:p>
      <w:pPr>
        <w:pStyle w:val="5"/>
        <w:widowControl/>
        <w:spacing w:beforeAutospacing="0" w:afterAutospacing="0" w:line="22" w:lineRule="atLeast"/>
        <w:jc w:val="both"/>
        <w:rPr>
          <w:rFonts w:ascii="宋体" w:hAnsi="宋体" w:eastAsia="宋体" w:cs="宋体"/>
          <w:sz w:val="32"/>
          <w:szCs w:val="32"/>
        </w:rPr>
      </w:pPr>
      <w:r>
        <w:rPr>
          <w:rFonts w:hint="eastAsia" w:ascii="宋体" w:hAnsi="宋体" w:eastAsia="宋体" w:cs="宋体"/>
          <w:color w:val="333333"/>
          <w:sz w:val="32"/>
          <w:szCs w:val="32"/>
          <w:shd w:val="clear" w:color="auto" w:fill="FFFFFF"/>
        </w:rPr>
        <w:t>　　第十九条 各地财政部门应当及时下达资金，加快预算执行进度，提高资金使用效益。结转结余资金按照规定执行。</w:t>
      </w: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第二十条 各地财政部门、有关管理部门及其工作人员存在弄虚作假或挤占、挪用、滞留资金，以及其他滥用职权、玩忽职守、徇私舞弊等违法违纪行为的，按照《中华人民共和国公务员法》《中华人民共和国监察法》《财政违法行为处罚处分条例》等有关规定追究相应责任；构成犯罪的，依法追究刑事责任。</w:t>
      </w:r>
    </w:p>
    <w:p>
      <w:pPr>
        <w:pStyle w:val="5"/>
        <w:widowControl/>
        <w:spacing w:beforeAutospacing="0" w:afterAutospacing="0" w:line="22" w:lineRule="atLeast"/>
        <w:rPr>
          <w:rFonts w:ascii="宋体" w:hAnsi="宋体" w:eastAsia="宋体" w:cs="宋体"/>
          <w:color w:val="333333"/>
          <w:sz w:val="32"/>
          <w:szCs w:val="32"/>
          <w:shd w:val="clear" w:color="auto" w:fill="FFFFFF"/>
        </w:rPr>
      </w:pPr>
    </w:p>
    <w:p>
      <w:pPr>
        <w:pStyle w:val="5"/>
        <w:widowControl/>
        <w:numPr>
          <w:ilvl w:val="0"/>
          <w:numId w:val="1"/>
        </w:numPr>
        <w:spacing w:beforeAutospacing="0" w:afterAutospacing="0" w:line="22" w:lineRule="atLeast"/>
        <w:jc w:val="center"/>
        <w:rPr>
          <w:rStyle w:val="8"/>
          <w:rFonts w:ascii="宋体" w:hAnsi="宋体" w:eastAsia="宋体" w:cs="宋体"/>
          <w:color w:val="333333"/>
          <w:sz w:val="32"/>
          <w:szCs w:val="32"/>
          <w:shd w:val="clear" w:color="auto" w:fill="FFFFFF"/>
        </w:rPr>
      </w:pPr>
      <w:r>
        <w:rPr>
          <w:rStyle w:val="8"/>
          <w:rFonts w:hint="eastAsia" w:ascii="宋体" w:hAnsi="宋体" w:eastAsia="宋体" w:cs="宋体"/>
          <w:color w:val="333333"/>
          <w:sz w:val="32"/>
          <w:szCs w:val="32"/>
          <w:shd w:val="clear" w:color="auto" w:fill="FFFFFF"/>
        </w:rPr>
        <w:t> 附 则</w:t>
      </w:r>
    </w:p>
    <w:p>
      <w:pPr>
        <w:pStyle w:val="5"/>
        <w:widowControl/>
        <w:spacing w:beforeAutospacing="0" w:afterAutospacing="0" w:line="22" w:lineRule="atLeast"/>
        <w:jc w:val="both"/>
        <w:rPr>
          <w:rStyle w:val="8"/>
          <w:rFonts w:ascii="宋体" w:hAnsi="宋体" w:eastAsia="宋体" w:cs="宋体"/>
          <w:color w:val="333333"/>
          <w:sz w:val="32"/>
          <w:szCs w:val="32"/>
          <w:shd w:val="clear" w:color="auto" w:fill="FFFFFF"/>
        </w:rPr>
      </w:pP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r>
        <w:rPr>
          <w:rFonts w:hint="eastAsia" w:ascii="宋体" w:hAnsi="宋体" w:eastAsia="宋体" w:cs="宋体"/>
          <w:color w:val="333333"/>
          <w:sz w:val="32"/>
          <w:szCs w:val="32"/>
          <w:shd w:val="clear" w:color="auto" w:fill="FFFFFF"/>
        </w:rPr>
        <w:t>第二十一条 本办法自公布之日起实施。本办法实施后，各使用方向资金管理办法继续实行，与本办法相抵触的，以本办法为准。</w:t>
      </w:r>
    </w:p>
    <w:p>
      <w:pPr>
        <w:pStyle w:val="5"/>
        <w:widowControl/>
        <w:spacing w:beforeAutospacing="0" w:after="422" w:afterAutospacing="0" w:line="22" w:lineRule="atLeast"/>
        <w:ind w:firstLine="640" w:firstLineChars="200"/>
        <w:rPr>
          <w:rFonts w:ascii="宋体" w:hAnsi="宋体" w:eastAsia="宋体" w:cs="宋体"/>
          <w:sz w:val="32"/>
          <w:szCs w:val="32"/>
        </w:rPr>
      </w:pPr>
    </w:p>
    <w:p>
      <w:pPr>
        <w:ind w:firstLine="640" w:firstLineChars="200"/>
        <w:rPr>
          <w:rFonts w:ascii="宋体" w:hAnsi="宋体" w:eastAsia="宋体" w:cs="宋体"/>
          <w:color w:val="333333"/>
          <w:sz w:val="32"/>
          <w:szCs w:val="32"/>
          <w:shd w:val="clear" w:color="auto" w:fill="FFFFFF"/>
        </w:rPr>
      </w:pPr>
    </w:p>
    <w:p>
      <w:pPr>
        <w:pStyle w:val="5"/>
        <w:widowControl/>
        <w:spacing w:beforeAutospacing="0" w:afterAutospacing="0" w:line="22" w:lineRule="atLeast"/>
        <w:ind w:firstLine="640"/>
        <w:jc w:val="both"/>
        <w:rPr>
          <w:rFonts w:ascii="宋体" w:hAnsi="宋体" w:eastAsia="宋体" w:cs="宋体"/>
          <w:color w:val="333333"/>
          <w:sz w:val="32"/>
          <w:szCs w:val="32"/>
          <w:shd w:val="clear" w:color="auto" w:fill="FFFFFF"/>
        </w:rPr>
      </w:pPr>
    </w:p>
    <w:sectPr>
      <w:footerReference r:id="rId3" w:type="default"/>
      <w:pgSz w:w="11906" w:h="16838"/>
      <w:pgMar w:top="1880" w:right="1800" w:bottom="898"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ascii="仿宋" w:hAnsi="仿宋" w:eastAsia="仿宋" w:cs="仿宋"/>
                              <w:sz w:val="32"/>
                              <w:szCs w:val="32"/>
                            </w:rPr>
                            <w:t>7</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3"/>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ascii="仿宋" w:hAnsi="仿宋" w:eastAsia="仿宋" w:cs="仿宋"/>
                        <w:sz w:val="32"/>
                        <w:szCs w:val="32"/>
                      </w:rPr>
                      <w:t>7</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AE46D1"/>
    <w:multiLevelType w:val="singleLevel"/>
    <w:tmpl w:val="F6AE46D1"/>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trackRevisions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0ZmRiM2M4MmRlOTU0MWYxNTNiYTkyNDliNjI4NmYifQ=="/>
  </w:docVars>
  <w:rsids>
    <w:rsidRoot w:val="00C72029"/>
    <w:rsid w:val="001952C2"/>
    <w:rsid w:val="001E4C42"/>
    <w:rsid w:val="0030373E"/>
    <w:rsid w:val="00332698"/>
    <w:rsid w:val="005670B3"/>
    <w:rsid w:val="006133D8"/>
    <w:rsid w:val="007A5A0C"/>
    <w:rsid w:val="007E00C7"/>
    <w:rsid w:val="007E4FE9"/>
    <w:rsid w:val="009C73EF"/>
    <w:rsid w:val="00AE766F"/>
    <w:rsid w:val="00C72029"/>
    <w:rsid w:val="00CA631D"/>
    <w:rsid w:val="00CF46C0"/>
    <w:rsid w:val="00E702F8"/>
    <w:rsid w:val="00EE702D"/>
    <w:rsid w:val="00F5493D"/>
    <w:rsid w:val="00FF15A6"/>
    <w:rsid w:val="00FF7F64"/>
    <w:rsid w:val="02005B8D"/>
    <w:rsid w:val="033C49A3"/>
    <w:rsid w:val="04E92909"/>
    <w:rsid w:val="05A0746B"/>
    <w:rsid w:val="0735585F"/>
    <w:rsid w:val="07794418"/>
    <w:rsid w:val="077A1F3E"/>
    <w:rsid w:val="081C2DDA"/>
    <w:rsid w:val="0A4F76B2"/>
    <w:rsid w:val="0BAF665A"/>
    <w:rsid w:val="0C6236CC"/>
    <w:rsid w:val="0D026C5D"/>
    <w:rsid w:val="0E745939"/>
    <w:rsid w:val="0EB26299"/>
    <w:rsid w:val="112A6EAE"/>
    <w:rsid w:val="11E132E5"/>
    <w:rsid w:val="12315DD4"/>
    <w:rsid w:val="123829A9"/>
    <w:rsid w:val="146378E8"/>
    <w:rsid w:val="150025DF"/>
    <w:rsid w:val="1A2E2E40"/>
    <w:rsid w:val="1A6C1BBA"/>
    <w:rsid w:val="20F866FB"/>
    <w:rsid w:val="21413BB0"/>
    <w:rsid w:val="242F7EE0"/>
    <w:rsid w:val="2503311B"/>
    <w:rsid w:val="258424AE"/>
    <w:rsid w:val="260158AC"/>
    <w:rsid w:val="26E33204"/>
    <w:rsid w:val="27441EF5"/>
    <w:rsid w:val="2901328C"/>
    <w:rsid w:val="29025EEE"/>
    <w:rsid w:val="29BB06C4"/>
    <w:rsid w:val="2CEB2E12"/>
    <w:rsid w:val="2EE8585B"/>
    <w:rsid w:val="30AB6B41"/>
    <w:rsid w:val="34583919"/>
    <w:rsid w:val="34F767F8"/>
    <w:rsid w:val="35A96EA0"/>
    <w:rsid w:val="35ED5529"/>
    <w:rsid w:val="368B4071"/>
    <w:rsid w:val="36AC53C0"/>
    <w:rsid w:val="37270EEB"/>
    <w:rsid w:val="38A036F7"/>
    <w:rsid w:val="39D0586A"/>
    <w:rsid w:val="3AD82C28"/>
    <w:rsid w:val="3CAD1E92"/>
    <w:rsid w:val="3D466547"/>
    <w:rsid w:val="3DF00289"/>
    <w:rsid w:val="3FCE45FA"/>
    <w:rsid w:val="41BD4926"/>
    <w:rsid w:val="41FF6CEC"/>
    <w:rsid w:val="425440AD"/>
    <w:rsid w:val="43BE3686"/>
    <w:rsid w:val="4492209A"/>
    <w:rsid w:val="469A5235"/>
    <w:rsid w:val="48B63E7D"/>
    <w:rsid w:val="4951234D"/>
    <w:rsid w:val="49520049"/>
    <w:rsid w:val="49695393"/>
    <w:rsid w:val="49AD5280"/>
    <w:rsid w:val="4A0C04C6"/>
    <w:rsid w:val="4A6242BC"/>
    <w:rsid w:val="4BDE3E16"/>
    <w:rsid w:val="4DF07E31"/>
    <w:rsid w:val="4E710F72"/>
    <w:rsid w:val="4EA2112B"/>
    <w:rsid w:val="4F4641AC"/>
    <w:rsid w:val="518014CC"/>
    <w:rsid w:val="520B348B"/>
    <w:rsid w:val="52350508"/>
    <w:rsid w:val="54D264E2"/>
    <w:rsid w:val="564B20A8"/>
    <w:rsid w:val="57BF2D4E"/>
    <w:rsid w:val="58FC1D80"/>
    <w:rsid w:val="59253085"/>
    <w:rsid w:val="5987789B"/>
    <w:rsid w:val="5A1F7AD4"/>
    <w:rsid w:val="5B1F1D55"/>
    <w:rsid w:val="5BA069F2"/>
    <w:rsid w:val="5BB22BCA"/>
    <w:rsid w:val="5C41319B"/>
    <w:rsid w:val="5CD72A16"/>
    <w:rsid w:val="6009367C"/>
    <w:rsid w:val="606F1089"/>
    <w:rsid w:val="60CD2674"/>
    <w:rsid w:val="62A3326C"/>
    <w:rsid w:val="654B3E73"/>
    <w:rsid w:val="6561749C"/>
    <w:rsid w:val="6BB838E4"/>
    <w:rsid w:val="6C1C0317"/>
    <w:rsid w:val="6CB70040"/>
    <w:rsid w:val="6CE626D3"/>
    <w:rsid w:val="6F4B532D"/>
    <w:rsid w:val="70812E3F"/>
    <w:rsid w:val="70903082"/>
    <w:rsid w:val="713D5FCB"/>
    <w:rsid w:val="717C53B4"/>
    <w:rsid w:val="71807110"/>
    <w:rsid w:val="73C13552"/>
    <w:rsid w:val="748B60A6"/>
    <w:rsid w:val="761E4C8C"/>
    <w:rsid w:val="78322C70"/>
    <w:rsid w:val="7BBE49E8"/>
    <w:rsid w:val="7BFF7CBA"/>
    <w:rsid w:val="7CEF380E"/>
    <w:rsid w:val="7F1B44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2487</Words>
  <Characters>2500</Characters>
  <Lines>20</Lines>
  <Paragraphs>5</Paragraphs>
  <TotalTime>2</TotalTime>
  <ScaleCrop>false</ScaleCrop>
  <LinksUpToDate>false</LinksUpToDate>
  <CharactersWithSpaces>2624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2022-07-21T08:26:00Z</dcterms:created>
  <dc:creator>p</dc:creator>
  <cp:lastModifiedBy>kylin</cp:lastModifiedBy>
  <cp:lastPrinted>2022-07-25T08:41:00Z</cp:lastPrinted>
  <dcterms:modified xsi:type="dcterms:W3CDTF">2022-07-25T16:14:17Z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643D35F227A94CEAB069B8CBF603FB00</vt:lpwstr>
  </property>
</Properties>
</file>