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仿宋_GB2312" w:eastAsia="仿宋_GB2312" w:cs="仿宋_GB2312"/>
          <w:b/>
          <w:bCs/>
          <w:color w:val="000000" w:themeColor="text1"/>
          <w:szCs w:val="32"/>
          <w:highlight w:val="none"/>
          <w14:textFill>
            <w14:solidFill>
              <w14:schemeClr w14:val="tx1"/>
            </w14:solidFill>
          </w14:textFill>
        </w:rPr>
      </w:pPr>
      <w:r>
        <w:rPr>
          <w:rFonts w:hint="eastAsia" w:ascii="仿宋_GB2312" w:hAnsi="仿宋_GB2312" w:eastAsia="仿宋_GB2312" w:cs="仿宋_GB2312"/>
          <w:b/>
          <w:bCs/>
          <w:color w:val="000000" w:themeColor="text1"/>
          <w:szCs w:val="32"/>
          <w:highlight w:val="none"/>
          <w:shd w:val="clear" w:color="auto" w:fill="FFFFFF"/>
          <w14:textFill>
            <w14:solidFill>
              <w14:schemeClr w14:val="tx1"/>
            </w14:solidFill>
          </w14:textFill>
        </w:rPr>
        <w:t>附件2</w:t>
      </w:r>
    </w:p>
    <w:p>
      <w:pPr>
        <w:keepNext w:val="0"/>
        <w:keepLines w:val="0"/>
        <w:pageBreakBefore w:val="0"/>
        <w:widowControl w:val="0"/>
        <w:kinsoku/>
        <w:wordWrap/>
        <w:overflowPunct/>
        <w:topLinePunct w:val="0"/>
        <w:autoSpaceDE w:val="0"/>
        <w:autoSpaceDN w:val="0"/>
        <w:bidi w:val="0"/>
        <w:adjustRightInd w:val="0"/>
        <w:snapToGrid w:val="0"/>
        <w:spacing w:before="225" w:after="225" w:line="240" w:lineRule="auto"/>
        <w:jc w:val="center"/>
        <w:textAlignment w:val="auto"/>
        <w:rPr>
          <w:rFonts w:hint="eastAsia" w:asciiTheme="majorEastAsia" w:hAnsiTheme="majorEastAsia" w:eastAsiaTheme="majorEastAsia"/>
          <w:b/>
          <w:color w:val="000000" w:themeColor="text1"/>
          <w:sz w:val="36"/>
          <w:szCs w:val="36"/>
          <w:highlight w:val="none"/>
          <w14:textFill>
            <w14:solidFill>
              <w14:schemeClr w14:val="tx1"/>
            </w14:solidFill>
          </w14:textFill>
        </w:rPr>
      </w:pPr>
      <w:r>
        <w:rPr>
          <w:rFonts w:hint="eastAsia" w:asciiTheme="majorEastAsia" w:hAnsiTheme="majorEastAsia" w:eastAsiaTheme="majorEastAsia"/>
          <w:b/>
          <w:color w:val="000000" w:themeColor="text1"/>
          <w:sz w:val="36"/>
          <w:szCs w:val="36"/>
          <w:highlight w:val="none"/>
          <w14:textFill>
            <w14:solidFill>
              <w14:schemeClr w14:val="tx1"/>
            </w14:solidFill>
          </w14:textFill>
        </w:rPr>
        <w:t>优抚对象补助</w:t>
      </w:r>
      <w:r>
        <w:rPr>
          <w:rFonts w:hint="eastAsia" w:asciiTheme="majorEastAsia" w:hAnsiTheme="majorEastAsia" w:eastAsiaTheme="majorEastAsia"/>
          <w:b/>
          <w:color w:val="000000" w:themeColor="text1"/>
          <w:sz w:val="36"/>
          <w:szCs w:val="36"/>
          <w:highlight w:val="none"/>
          <w:lang w:eastAsia="zh-CN"/>
          <w14:textFill>
            <w14:solidFill>
              <w14:schemeClr w14:val="tx1"/>
            </w14:solidFill>
          </w14:textFill>
        </w:rPr>
        <w:t>经费</w:t>
      </w:r>
      <w:r>
        <w:rPr>
          <w:rFonts w:hint="eastAsia" w:asciiTheme="majorEastAsia" w:hAnsiTheme="majorEastAsia" w:eastAsiaTheme="majorEastAsia"/>
          <w:b/>
          <w:color w:val="000000" w:themeColor="text1"/>
          <w:sz w:val="36"/>
          <w:szCs w:val="36"/>
          <w:highlight w:val="none"/>
          <w14:textFill>
            <w14:solidFill>
              <w14:schemeClr w14:val="tx1"/>
            </w14:solidFill>
          </w14:textFill>
        </w:rPr>
        <w:t>管理办法</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第一条</w:t>
      </w:r>
      <w:r>
        <w:rPr>
          <w:rFonts w:hint="eastAsia" w:eastAsia="黑体"/>
          <w:highlight w:val="none"/>
          <w:lang w:val="en-US" w:eastAsia="zh-CN"/>
        </w:rPr>
        <w:t xml:space="preserve">  </w:t>
      </w:r>
      <w:r>
        <w:rPr>
          <w:rFonts w:hint="eastAsia"/>
          <w:highlight w:val="none"/>
        </w:rPr>
        <w:t>为规范优抚对象补助</w:t>
      </w:r>
      <w:r>
        <w:rPr>
          <w:rFonts w:hint="eastAsia"/>
          <w:highlight w:val="none"/>
          <w:lang w:eastAsia="zh-CN"/>
        </w:rPr>
        <w:t>经费</w:t>
      </w:r>
      <w:r>
        <w:rPr>
          <w:rFonts w:hint="eastAsia"/>
          <w:highlight w:val="none"/>
        </w:rPr>
        <w:t>管理，提高资金使用效益，确保优抚对象补助</w:t>
      </w:r>
      <w:r>
        <w:rPr>
          <w:rFonts w:hint="eastAsia"/>
          <w:highlight w:val="none"/>
          <w:lang w:eastAsia="zh-CN"/>
        </w:rPr>
        <w:t>经费</w:t>
      </w:r>
      <w:r>
        <w:rPr>
          <w:rFonts w:hint="eastAsia"/>
          <w:highlight w:val="none"/>
        </w:rPr>
        <w:t>及时足额发放，根据《军人抚恤优待条例》等相关规定，制定本办法。</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第二条</w:t>
      </w:r>
      <w:r>
        <w:rPr>
          <w:rFonts w:hint="eastAsia" w:eastAsia="黑体"/>
          <w:highlight w:val="none"/>
          <w:lang w:val="en-US" w:eastAsia="zh-CN"/>
        </w:rPr>
        <w:t xml:space="preserve">  </w:t>
      </w:r>
      <w:r>
        <w:rPr>
          <w:rFonts w:hint="eastAsia"/>
          <w:highlight w:val="none"/>
        </w:rPr>
        <w:t>本办法所称优抚对象补助</w:t>
      </w:r>
      <w:r>
        <w:rPr>
          <w:rFonts w:hint="eastAsia"/>
          <w:highlight w:val="none"/>
          <w:lang w:eastAsia="zh-CN"/>
        </w:rPr>
        <w:t>经费</w:t>
      </w:r>
      <w:r>
        <w:rPr>
          <w:rFonts w:hint="eastAsia"/>
          <w:highlight w:val="none"/>
        </w:rPr>
        <w:t>，是指按照《军人抚恤优待条例》和有关文件规定，各级财政安排用于退役军人事务部门服务管理的优抚对象等人员相关支出。包括：伤残人员（含残疾军人、伤残人民警察、伤残国家机关工作人员、伤残民兵民工</w:t>
      </w:r>
      <w:r>
        <w:rPr>
          <w:rFonts w:hint="eastAsia"/>
          <w:highlight w:val="none"/>
          <w:lang w:eastAsia="zh-CN"/>
        </w:rPr>
        <w:t>等人员</w:t>
      </w:r>
      <w:r>
        <w:rPr>
          <w:rFonts w:hint="eastAsia"/>
          <w:highlight w:val="none"/>
        </w:rPr>
        <w:t>）的残疾抚恤资金，烈士褒扬金，“三属”（烈士遗属、因公牺牲军人遗属和病故军人遗属）的定期抚恤资金，“三红”（在乡退伍红军老战士、在乡西路红军老战士、红军失散人员）、在乡复员军人、带病回乡退伍军人、在农村的和城镇无工作单位且家庭生活困难的参战退役人员、部分原8023 部队及其他参加核试验军队退役人员、直接参与铀矿开采军队退役人员、部分烈士子女（含建国前错杀后被平反人员的子女）的定期生活补助资金，部分农村籍退役士兵的老年生活补助资金，</w:t>
      </w:r>
      <w:r>
        <w:rPr>
          <w:rFonts w:hint="eastAsia"/>
          <w:highlight w:val="none"/>
          <w:lang w:eastAsia="zh-CN"/>
        </w:rPr>
        <w:t>新中国成立</w:t>
      </w:r>
      <w:r>
        <w:rPr>
          <w:rFonts w:hint="eastAsia"/>
          <w:highlight w:val="none"/>
        </w:rPr>
        <w:t>前入党的农村老党员和未享受离退休待遇的城镇老党员生活补贴资金，国家按规定向优抚对象发放的一次性生活补贴资金等。</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highlight w:val="none"/>
        </w:rPr>
        <w:t>中央财政补助资金实施期限暂</w:t>
      </w:r>
      <w:r>
        <w:rPr>
          <w:rFonts w:hint="eastAsia" w:ascii="仿宋_GB2312" w:hAnsi="仿宋_GB2312" w:eastAsia="仿宋_GB2312" w:cs="仿宋_GB2312"/>
          <w:highlight w:val="none"/>
        </w:rPr>
        <w:t>至2023年12月31</w:t>
      </w:r>
      <w:r>
        <w:rPr>
          <w:rFonts w:hint="eastAsia"/>
          <w:highlight w:val="none"/>
        </w:rPr>
        <w:t>日。期满后财政部会同退役军人部根据法律、行政法规和国务院有关规定及工作需要评估确定后续期限。</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第三条</w:t>
      </w:r>
      <w:r>
        <w:rPr>
          <w:rFonts w:hint="eastAsia" w:eastAsia="黑体"/>
          <w:highlight w:val="none"/>
          <w:lang w:val="en-US" w:eastAsia="zh-CN"/>
        </w:rPr>
        <w:t xml:space="preserve">  </w:t>
      </w:r>
      <w:r>
        <w:rPr>
          <w:rFonts w:hint="eastAsia" w:ascii="仿宋_GB2312" w:hAnsi="仿宋_GB2312" w:cs="仿宋_GB2312"/>
          <w:highlight w:val="none"/>
          <w:lang w:eastAsia="zh-CN"/>
        </w:rPr>
        <w:t>优抚</w:t>
      </w:r>
      <w:r>
        <w:rPr>
          <w:rFonts w:hint="eastAsia" w:ascii="仿宋_GB2312" w:hAnsi="仿宋_GB2312" w:eastAsia="仿宋_GB2312" w:cs="仿宋_GB2312"/>
          <w:highlight w:val="none"/>
          <w:lang w:eastAsia="zh-CN"/>
        </w:rPr>
        <w:t>对象</w:t>
      </w:r>
      <w:r>
        <w:rPr>
          <w:rFonts w:hint="eastAsia"/>
          <w:highlight w:val="none"/>
        </w:rPr>
        <w:t>补助</w:t>
      </w:r>
      <w:r>
        <w:rPr>
          <w:rFonts w:hint="eastAsia"/>
          <w:highlight w:val="none"/>
          <w:lang w:eastAsia="zh-CN"/>
        </w:rPr>
        <w:t>经费</w:t>
      </w:r>
      <w:r>
        <w:rPr>
          <w:rFonts w:hint="eastAsia"/>
          <w:highlight w:val="none"/>
        </w:rPr>
        <w:t>由中央和地方财政共同负担，纳入各级</w:t>
      </w:r>
      <w:r>
        <w:rPr>
          <w:rFonts w:hint="eastAsia"/>
          <w:highlight w:val="none"/>
          <w:lang w:eastAsia="zh-CN"/>
        </w:rPr>
        <w:t>政府</w:t>
      </w:r>
      <w:r>
        <w:rPr>
          <w:rFonts w:hint="eastAsia"/>
          <w:highlight w:val="none"/>
        </w:rPr>
        <w:t>预算。中央财政按照规定标准对各地予以补助，并根据经济社会发展情况，适时适当提高补助标准。</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第四条</w:t>
      </w:r>
      <w:r>
        <w:rPr>
          <w:rFonts w:hint="eastAsia" w:ascii="黑体" w:hAnsi="黑体" w:eastAsia="黑体" w:cs="黑体"/>
          <w:highlight w:val="none"/>
          <w:lang w:val="en-US" w:eastAsia="zh-CN"/>
        </w:rPr>
        <w:t xml:space="preserve"> </w:t>
      </w:r>
      <w:bookmarkStart w:id="0" w:name="_GoBack"/>
      <w:bookmarkEnd w:id="0"/>
      <w:r>
        <w:rPr>
          <w:rFonts w:hint="eastAsia" w:eastAsia="黑体"/>
          <w:highlight w:val="none"/>
          <w:lang w:val="en-US" w:eastAsia="zh-CN"/>
        </w:rPr>
        <w:t xml:space="preserve"> </w:t>
      </w:r>
      <w:r>
        <w:rPr>
          <w:rFonts w:hint="eastAsia" w:ascii="仿宋_GB2312" w:hAnsi="仿宋_GB2312" w:eastAsia="仿宋_GB2312" w:cs="仿宋_GB2312"/>
          <w:highlight w:val="none"/>
          <w:lang w:val="en-US" w:eastAsia="zh-CN"/>
        </w:rPr>
        <w:t>优抚对象</w:t>
      </w:r>
      <w:r>
        <w:rPr>
          <w:rFonts w:hint="eastAsia"/>
          <w:highlight w:val="none"/>
        </w:rPr>
        <w:t>补助</w:t>
      </w:r>
      <w:r>
        <w:rPr>
          <w:rFonts w:hint="eastAsia"/>
          <w:highlight w:val="none"/>
          <w:lang w:eastAsia="zh-CN"/>
        </w:rPr>
        <w:t>经费</w:t>
      </w:r>
      <w:r>
        <w:rPr>
          <w:rFonts w:hint="eastAsia"/>
          <w:highlight w:val="none"/>
        </w:rPr>
        <w:t>应当坚持专款专用、科学管理、加强监督的原则，严格按照规定的范围、标准和程序使用，确保资金使用安全、规范、高效。</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第五条</w:t>
      </w:r>
      <w:r>
        <w:rPr>
          <w:rFonts w:hint="eastAsia" w:eastAsia="黑体"/>
          <w:highlight w:val="none"/>
          <w:lang w:val="en-US" w:eastAsia="zh-CN"/>
        </w:rPr>
        <w:t xml:space="preserve">  </w:t>
      </w:r>
      <w:r>
        <w:rPr>
          <w:rFonts w:hint="eastAsia"/>
          <w:highlight w:val="none"/>
        </w:rPr>
        <w:t>中央财政根据各省（自治区、直辖市）优抚对象人数和规定标准，测算下达</w:t>
      </w:r>
      <w:r>
        <w:rPr>
          <w:rFonts w:hint="eastAsia"/>
          <w:highlight w:val="none"/>
          <w:lang w:eastAsia="zh-CN"/>
        </w:rPr>
        <w:t>优抚对象</w:t>
      </w:r>
      <w:r>
        <w:rPr>
          <w:rFonts w:hint="eastAsia"/>
          <w:highlight w:val="none"/>
        </w:rPr>
        <w:t>补助</w:t>
      </w:r>
      <w:r>
        <w:rPr>
          <w:rFonts w:hint="eastAsia"/>
          <w:highlight w:val="none"/>
          <w:lang w:eastAsia="zh-CN"/>
        </w:rPr>
        <w:t>经费</w:t>
      </w:r>
      <w:r>
        <w:rPr>
          <w:rFonts w:hint="eastAsia"/>
          <w:highlight w:val="none"/>
        </w:rPr>
        <w:t>，并向经济欠发达地区和优抚对象人数较多的地区适当倾斜。</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highlight w:val="none"/>
        </w:rPr>
        <w:t>各地应当结合当地经济社会发展实际情况，研究确定本地区优抚对象补助标准；应当及时拨付中央财政补助</w:t>
      </w:r>
      <w:r>
        <w:rPr>
          <w:rFonts w:hint="eastAsia"/>
          <w:highlight w:val="none"/>
          <w:lang w:eastAsia="zh-CN"/>
        </w:rPr>
        <w:t>经费</w:t>
      </w:r>
      <w:r>
        <w:rPr>
          <w:rFonts w:hint="eastAsia"/>
          <w:highlight w:val="none"/>
        </w:rPr>
        <w:t>并测算下达地方财政应安排的补助</w:t>
      </w:r>
      <w:r>
        <w:rPr>
          <w:rFonts w:hint="eastAsia"/>
          <w:highlight w:val="none"/>
          <w:lang w:eastAsia="zh-CN"/>
        </w:rPr>
        <w:t>经费</w:t>
      </w:r>
      <w:r>
        <w:rPr>
          <w:rFonts w:hint="eastAsia"/>
          <w:highlight w:val="none"/>
        </w:rPr>
        <w:t>，确保优抚对象补助</w:t>
      </w:r>
      <w:r>
        <w:rPr>
          <w:rFonts w:hint="eastAsia"/>
          <w:highlight w:val="none"/>
          <w:lang w:eastAsia="zh-CN"/>
        </w:rPr>
        <w:t>经费</w:t>
      </w:r>
      <w:r>
        <w:rPr>
          <w:rFonts w:hint="eastAsia"/>
          <w:highlight w:val="none"/>
        </w:rPr>
        <w:t>及时足额发放；应当加大投入力度，</w:t>
      </w:r>
      <w:r>
        <w:rPr>
          <w:rFonts w:hint="eastAsia"/>
          <w:highlight w:val="none"/>
          <w:lang w:eastAsia="zh-CN"/>
        </w:rPr>
        <w:t>保障优抚对象的生活与国家经济社会发展相适应</w:t>
      </w:r>
      <w:r>
        <w:rPr>
          <w:rFonts w:hint="eastAsia"/>
          <w:highlight w:val="none"/>
        </w:rPr>
        <w:t>。</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第六条</w:t>
      </w:r>
      <w:r>
        <w:rPr>
          <w:rFonts w:hint="eastAsia" w:eastAsia="黑体"/>
          <w:highlight w:val="none"/>
          <w:lang w:val="en-US" w:eastAsia="zh-CN"/>
        </w:rPr>
        <w:t xml:space="preserve">  </w:t>
      </w:r>
      <w:r>
        <w:rPr>
          <w:rFonts w:hint="eastAsia"/>
          <w:highlight w:val="none"/>
        </w:rPr>
        <w:t>地方各级退役军人事务部门应当建立优抚对象数据动态管理机制，将本地区优抚对象的各项数据信息全面、准确、及时地录入全国优抚信息管理系统，新增人员、自然减员以及优抚对象本身情况发生变化的，应当及时在优抚对象数据库中进行更新。</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ascii="仿宋_GB2312" w:hAnsi="仿宋_GB2312" w:cs="仿宋_GB2312"/>
          <w:color w:val="000000" w:themeColor="text1"/>
          <w:szCs w:val="32"/>
          <w:highlight w:val="none"/>
          <w14:textFill>
            <w14:solidFill>
              <w14:schemeClr w14:val="tx1"/>
            </w14:solidFill>
          </w14:textFill>
        </w:rPr>
      </w:pPr>
      <w:r>
        <w:rPr>
          <w:rFonts w:hint="eastAsia" w:ascii="仿宋_GB2312" w:hAnsi="仿宋_GB2312" w:cs="仿宋_GB2312"/>
          <w:color w:val="000000" w:themeColor="text1"/>
          <w:szCs w:val="32"/>
          <w:highlight w:val="none"/>
          <w:shd w:val="clear" w:color="auto" w:fill="FFFFFF"/>
          <w14:textFill>
            <w14:solidFill>
              <w14:schemeClr w14:val="tx1"/>
            </w14:solidFill>
          </w14:textFill>
        </w:rPr>
        <w:t>地方各级退役军人事务部门每年应当会同同级财政部门对优抚对象人员情况进行审核，并逐级汇总上报。省级退役军人事务部门应当会同同级财政部门于每年全国优抚对象数据集中审定前，将本地区当年应享受补助待遇的优抚对象人员情况，经省（自治区、直辖市）人民政府批准后上报退役军人部。</w:t>
      </w:r>
      <w:r>
        <w:rPr>
          <w:rFonts w:hint="eastAsia" w:ascii="仿宋_GB2312" w:hAnsi="仿宋_GB2312" w:cs="仿宋_GB2312"/>
          <w:color w:val="000000" w:themeColor="text1"/>
          <w:szCs w:val="32"/>
          <w:highlight w:val="none"/>
          <w14:textFill>
            <w14:solidFill>
              <w14:schemeClr w14:val="tx1"/>
            </w14:solidFill>
          </w14:textFill>
        </w:rPr>
        <w:t>退役军人部根据各省（自治区、直辖市）优抚对象人数和规定标准，提出资金分配方案及分区域绩效目标，函报财政部。财政部接收资金分配方案后，在30日内审定并下达补助</w:t>
      </w:r>
      <w:r>
        <w:rPr>
          <w:rFonts w:hint="eastAsia"/>
          <w:highlight w:val="none"/>
          <w:lang w:eastAsia="zh-CN"/>
        </w:rPr>
        <w:t>经费</w:t>
      </w:r>
      <w:r>
        <w:rPr>
          <w:rFonts w:hint="eastAsia" w:ascii="仿宋_GB2312" w:hAnsi="仿宋_GB2312" w:cs="仿宋_GB2312"/>
          <w:color w:val="000000" w:themeColor="text1"/>
          <w:szCs w:val="32"/>
          <w:highlight w:val="none"/>
          <w14:textFill>
            <w14:solidFill>
              <w14:schemeClr w14:val="tx1"/>
            </w14:solidFill>
          </w14:textFill>
        </w:rPr>
        <w:t>预算，同步下达区域绩效目标，抄送退役军人部和财政部各地监管局。</w:t>
      </w:r>
      <w:r>
        <w:rPr>
          <w:rFonts w:hint="eastAsia" w:ascii="仿宋_GB2312" w:hAnsi="仿宋_GB2312" w:cs="仿宋_GB2312"/>
          <w:b w:val="0"/>
          <w:bCs w:val="0"/>
          <w:color w:val="000000"/>
          <w:spacing w:val="0"/>
          <w:sz w:val="32"/>
          <w:szCs w:val="32"/>
          <w:highlight w:val="none"/>
          <w:lang w:eastAsia="zh-CN"/>
        </w:rPr>
        <w:t>优抚对象补助经费</w:t>
      </w:r>
      <w:r>
        <w:rPr>
          <w:rFonts w:hint="eastAsia" w:ascii="仿宋_GB2312" w:hAnsi="仿宋_GB2312" w:eastAsia="仿宋_GB2312" w:cs="仿宋_GB2312"/>
          <w:b w:val="0"/>
          <w:bCs w:val="0"/>
          <w:color w:val="000000"/>
          <w:spacing w:val="0"/>
          <w:sz w:val="32"/>
          <w:szCs w:val="32"/>
          <w:highlight w:val="none"/>
          <w:lang w:eastAsia="zh-CN"/>
        </w:rPr>
        <w:t>分配结果应当按照预算公开有关规定向社会公布。财政部在</w:t>
      </w:r>
      <w:r>
        <w:rPr>
          <w:rFonts w:hint="eastAsia" w:ascii="仿宋_GB2312" w:hAnsi="仿宋_GB2312" w:cs="仿宋_GB2312"/>
          <w:b w:val="0"/>
          <w:bCs w:val="0"/>
          <w:color w:val="000000"/>
          <w:spacing w:val="0"/>
          <w:sz w:val="32"/>
          <w:szCs w:val="32"/>
          <w:highlight w:val="none"/>
          <w:lang w:eastAsia="zh-CN"/>
        </w:rPr>
        <w:t>优抚对象补助经费</w:t>
      </w:r>
      <w:r>
        <w:rPr>
          <w:rFonts w:hint="eastAsia" w:ascii="仿宋_GB2312" w:hAnsi="仿宋_GB2312" w:eastAsia="仿宋_GB2312" w:cs="仿宋_GB2312"/>
          <w:b w:val="0"/>
          <w:bCs w:val="0"/>
          <w:color w:val="000000"/>
          <w:spacing w:val="0"/>
          <w:sz w:val="32"/>
          <w:szCs w:val="32"/>
          <w:highlight w:val="none"/>
          <w:lang w:eastAsia="zh-CN"/>
        </w:rPr>
        <w:t>下达后</w:t>
      </w:r>
      <w:r>
        <w:rPr>
          <w:rFonts w:hint="eastAsia" w:ascii="仿宋_GB2312" w:hAnsi="仿宋_GB2312" w:eastAsia="仿宋_GB2312" w:cs="仿宋_GB2312"/>
          <w:b w:val="0"/>
          <w:bCs w:val="0"/>
          <w:color w:val="000000"/>
          <w:spacing w:val="0"/>
          <w:sz w:val="32"/>
          <w:szCs w:val="32"/>
          <w:highlight w:val="none"/>
          <w:lang w:val="en-US" w:eastAsia="zh-CN"/>
        </w:rPr>
        <w:t>20日内将</w:t>
      </w:r>
      <w:r>
        <w:rPr>
          <w:rFonts w:hint="eastAsia" w:ascii="仿宋_GB2312" w:hAnsi="仿宋_GB2312" w:eastAsia="仿宋_GB2312" w:cs="仿宋_GB2312"/>
          <w:b w:val="0"/>
          <w:bCs w:val="0"/>
          <w:color w:val="000000"/>
          <w:spacing w:val="0"/>
          <w:sz w:val="32"/>
          <w:szCs w:val="32"/>
          <w:highlight w:val="none"/>
          <w:lang w:eastAsia="zh-CN"/>
        </w:rPr>
        <w:t>资金分配结果向社会公开。地方各级财政部门应当按照预算公开有关规定将</w:t>
      </w:r>
      <w:r>
        <w:rPr>
          <w:rFonts w:hint="eastAsia" w:ascii="仿宋_GB2312" w:hAnsi="仿宋_GB2312" w:cs="仿宋_GB2312"/>
          <w:b w:val="0"/>
          <w:bCs w:val="0"/>
          <w:color w:val="000000"/>
          <w:spacing w:val="0"/>
          <w:sz w:val="32"/>
          <w:szCs w:val="32"/>
          <w:highlight w:val="none"/>
          <w:lang w:eastAsia="zh-CN"/>
        </w:rPr>
        <w:t>优抚对象补助经费</w:t>
      </w:r>
      <w:r>
        <w:rPr>
          <w:rFonts w:hint="eastAsia" w:ascii="仿宋_GB2312" w:hAnsi="仿宋_GB2312" w:eastAsia="仿宋_GB2312" w:cs="仿宋_GB2312"/>
          <w:b w:val="0"/>
          <w:bCs w:val="0"/>
          <w:color w:val="000000"/>
          <w:spacing w:val="0"/>
          <w:sz w:val="32"/>
          <w:szCs w:val="32"/>
          <w:highlight w:val="none"/>
          <w:lang w:eastAsia="zh-CN"/>
        </w:rPr>
        <w:t>安排详细情况公开，接受社会监督</w:t>
      </w:r>
      <w:r>
        <w:rPr>
          <w:rFonts w:hint="eastAsia" w:ascii="仿宋_GB2312" w:hAnsi="仿宋_GB2312" w:cs="仿宋_GB2312"/>
          <w:b w:val="0"/>
          <w:bCs w:val="0"/>
          <w:color w:val="000000"/>
          <w:spacing w:val="0"/>
          <w:sz w:val="32"/>
          <w:szCs w:val="32"/>
          <w:highlight w:val="none"/>
          <w:lang w:eastAsia="zh-CN"/>
        </w:rPr>
        <w:t>。</w:t>
      </w:r>
      <w:r>
        <w:rPr>
          <w:rFonts w:hint="eastAsia" w:ascii="仿宋_GB2312" w:hAnsi="仿宋_GB2312" w:cs="仿宋_GB2312"/>
          <w:color w:val="000000" w:themeColor="text1"/>
          <w:szCs w:val="32"/>
          <w:highlight w:val="none"/>
          <w14:textFill>
            <w14:solidFill>
              <w14:schemeClr w14:val="tx1"/>
            </w14:solidFill>
          </w14:textFill>
        </w:rPr>
        <w:t>年度执行中，退役军人部会同财政部指导省级退役军人事务部门、财政部门对绩效目标实现情况进行监控，确保绩效目标如期实现。</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ascii="仿宋_GB2312" w:hAnsi="仿宋_GB2312" w:cs="仿宋_GB2312"/>
          <w:color w:val="000000" w:themeColor="text1"/>
          <w:szCs w:val="32"/>
          <w:highlight w:val="none"/>
          <w14:textFill>
            <w14:solidFill>
              <w14:schemeClr w14:val="tx1"/>
            </w14:solidFill>
          </w14:textFill>
        </w:rPr>
      </w:pPr>
      <w:r>
        <w:rPr>
          <w:rFonts w:hint="eastAsia" w:ascii="仿宋_GB2312" w:hAnsi="仿宋_GB2312" w:cs="仿宋_GB2312"/>
          <w:color w:val="000000" w:themeColor="text1"/>
          <w:szCs w:val="32"/>
          <w:highlight w:val="none"/>
          <w14:textFill>
            <w14:solidFill>
              <w14:schemeClr w14:val="tx1"/>
            </w14:solidFill>
          </w14:textFill>
        </w:rPr>
        <w:t>省级退役军人事务部门应会同同级财政部门组织市县做好补助</w:t>
      </w:r>
      <w:r>
        <w:rPr>
          <w:rFonts w:hint="eastAsia"/>
          <w:highlight w:val="none"/>
          <w:lang w:eastAsia="zh-CN"/>
        </w:rPr>
        <w:t>经费</w:t>
      </w:r>
      <w:r>
        <w:rPr>
          <w:rFonts w:hint="eastAsia" w:ascii="仿宋_GB2312" w:hAnsi="仿宋_GB2312" w:cs="仿宋_GB2312"/>
          <w:color w:val="000000" w:themeColor="text1"/>
          <w:szCs w:val="32"/>
          <w:highlight w:val="none"/>
          <w14:textFill>
            <w14:solidFill>
              <w14:schemeClr w14:val="tx1"/>
            </w14:solidFill>
          </w14:textFill>
        </w:rPr>
        <w:t>绩效自评工作，将区域绩效自评结果报送退役军人部、财政部，并抄送财政部当地监管局。</w:t>
      </w:r>
      <w:r>
        <w:rPr>
          <w:rFonts w:hint="eastAsia" w:ascii="仿宋_GB2312" w:hAnsi="仿宋_GB2312" w:cs="仿宋_GB2312"/>
          <w:color w:val="000000" w:themeColor="text1"/>
          <w:szCs w:val="32"/>
          <w:highlight w:val="none"/>
          <w:lang w:eastAsia="zh-CN"/>
          <w14:textFill>
            <w14:solidFill>
              <w14:schemeClr w14:val="tx1"/>
            </w14:solidFill>
          </w14:textFill>
        </w:rPr>
        <w:t>财政部和退役军人部适时开展优抚对象补助</w:t>
      </w:r>
      <w:r>
        <w:rPr>
          <w:rFonts w:hint="eastAsia"/>
          <w:highlight w:val="none"/>
          <w:lang w:eastAsia="zh-CN"/>
        </w:rPr>
        <w:t>经费</w:t>
      </w:r>
      <w:r>
        <w:rPr>
          <w:rFonts w:hint="eastAsia" w:ascii="仿宋_GB2312" w:hAnsi="仿宋_GB2312" w:cs="仿宋_GB2312"/>
          <w:color w:val="000000" w:themeColor="text1"/>
          <w:szCs w:val="32"/>
          <w:highlight w:val="none"/>
          <w:lang w:eastAsia="zh-CN"/>
          <w14:textFill>
            <w14:solidFill>
              <w14:schemeClr w14:val="tx1"/>
            </w14:solidFill>
          </w14:textFill>
        </w:rPr>
        <w:t>重点绩效评价。绩效评价结果作为预算安排、政策调整和改进管理的重要依据。</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ascii="仿宋_GB2312" w:hAnsi="仿宋_GB2312" w:cs="仿宋_GB2312"/>
          <w:color w:val="000000" w:themeColor="text1"/>
          <w:szCs w:val="32"/>
          <w:highlight w:val="none"/>
          <w:lang w:eastAsia="zh-CN"/>
          <w14:textFill>
            <w14:solidFill>
              <w14:schemeClr w14:val="tx1"/>
            </w14:solidFill>
          </w14:textFill>
        </w:rPr>
      </w:pPr>
      <w:r>
        <w:rPr>
          <w:rFonts w:hint="eastAsia" w:ascii="黑体" w:hAnsi="黑体" w:eastAsia="黑体" w:cs="黑体"/>
          <w:color w:val="000000" w:themeColor="text1"/>
          <w:szCs w:val="32"/>
          <w:highlight w:val="none"/>
          <w:lang w:eastAsia="zh-CN"/>
          <w14:textFill>
            <w14:solidFill>
              <w14:schemeClr w14:val="tx1"/>
            </w14:solidFill>
          </w14:textFill>
        </w:rPr>
        <w:t>第七条</w:t>
      </w:r>
      <w:r>
        <w:rPr>
          <w:rFonts w:hint="eastAsia" w:ascii="仿宋_GB2312" w:hAnsi="仿宋_GB2312" w:cs="仿宋_GB2312"/>
          <w:color w:val="000000" w:themeColor="text1"/>
          <w:szCs w:val="32"/>
          <w:highlight w:val="none"/>
          <w:lang w:val="en-US" w:eastAsia="zh-CN"/>
          <w14:textFill>
            <w14:solidFill>
              <w14:schemeClr w14:val="tx1"/>
            </w14:solidFill>
          </w14:textFill>
        </w:rPr>
        <w:t xml:space="preserve">  </w:t>
      </w:r>
      <w:r>
        <w:rPr>
          <w:rFonts w:hint="eastAsia" w:ascii="仿宋_GB2312" w:hAnsi="仿宋_GB2312" w:cs="仿宋_GB2312"/>
          <w:color w:val="000000" w:themeColor="text1"/>
          <w:szCs w:val="32"/>
          <w:highlight w:val="none"/>
          <w:lang w:eastAsia="zh-CN"/>
          <w14:textFill>
            <w14:solidFill>
              <w14:schemeClr w14:val="tx1"/>
            </w14:solidFill>
          </w14:textFill>
        </w:rPr>
        <w:t>各地应当按照“退役军人事务部门核定对象、标准，财政部门核拨资金，金融机构代发到人”的规程，全面推行补助</w:t>
      </w:r>
      <w:r>
        <w:rPr>
          <w:rFonts w:hint="eastAsia"/>
          <w:highlight w:val="none"/>
          <w:lang w:eastAsia="zh-CN"/>
        </w:rPr>
        <w:t>经费</w:t>
      </w:r>
      <w:r>
        <w:rPr>
          <w:rFonts w:hint="eastAsia" w:ascii="仿宋_GB2312" w:hAnsi="仿宋_GB2312" w:cs="仿宋_GB2312"/>
          <w:color w:val="000000" w:themeColor="text1"/>
          <w:szCs w:val="32"/>
          <w:highlight w:val="none"/>
          <w:lang w:eastAsia="zh-CN"/>
          <w14:textFill>
            <w14:solidFill>
              <w14:schemeClr w14:val="tx1"/>
            </w14:solidFill>
          </w14:textFill>
        </w:rPr>
        <w:t>社会化发放，减少中间环节，确保资金发放安全、及时、方便、快捷。同时，充分利用信息管理系统，建立健全优抚对象补助</w:t>
      </w:r>
      <w:r>
        <w:rPr>
          <w:rFonts w:hint="eastAsia"/>
          <w:highlight w:val="none"/>
          <w:lang w:eastAsia="zh-CN"/>
        </w:rPr>
        <w:t>经费</w:t>
      </w:r>
      <w:r>
        <w:rPr>
          <w:rFonts w:hint="eastAsia" w:ascii="仿宋_GB2312" w:hAnsi="仿宋_GB2312" w:cs="仿宋_GB2312"/>
          <w:color w:val="000000" w:themeColor="text1"/>
          <w:szCs w:val="32"/>
          <w:highlight w:val="none"/>
          <w:lang w:eastAsia="zh-CN"/>
          <w14:textFill>
            <w14:solidFill>
              <w14:schemeClr w14:val="tx1"/>
            </w14:solidFill>
          </w14:textFill>
        </w:rPr>
        <w:t>社会化发放体系，形成退役军人事务、财政及金融机构之间的联通联动机制，对资金发放实现全程监管。</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第八条</w:t>
      </w:r>
      <w:r>
        <w:rPr>
          <w:rFonts w:hint="eastAsia" w:eastAsia="黑体"/>
          <w:highlight w:val="none"/>
          <w:lang w:val="en-US" w:eastAsia="zh-CN"/>
        </w:rPr>
        <w:t xml:space="preserve">  </w:t>
      </w:r>
      <w:r>
        <w:rPr>
          <w:rFonts w:hint="eastAsia"/>
          <w:highlight w:val="none"/>
          <w:lang w:val="en-US" w:eastAsia="zh-CN"/>
        </w:rPr>
        <w:t>因优抚对象当年自然减员形成的结余资金，应当继续用于解决优抚对象生活、医疗、住房等困难和对优抚对象的临时性救助。</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highlight w:val="none"/>
          <w:lang w:val="en-US" w:eastAsia="zh-CN"/>
        </w:rPr>
      </w:pPr>
      <w:r>
        <w:rPr>
          <w:rFonts w:hint="eastAsia" w:ascii="黑体" w:hAnsi="黑体" w:eastAsia="黑体" w:cs="黑体"/>
          <w:b w:val="0"/>
          <w:bCs w:val="0"/>
          <w:highlight w:val="none"/>
        </w:rPr>
        <w:t>第九条</w:t>
      </w:r>
      <w:r>
        <w:rPr>
          <w:rFonts w:hint="eastAsia" w:eastAsia="黑体"/>
          <w:highlight w:val="none"/>
          <w:lang w:val="en-US" w:eastAsia="zh-CN"/>
        </w:rPr>
        <w:t xml:space="preserve">  </w:t>
      </w:r>
      <w:r>
        <w:rPr>
          <w:rFonts w:hint="eastAsia"/>
          <w:highlight w:val="none"/>
          <w:lang w:val="en-US" w:eastAsia="zh-CN"/>
        </w:rPr>
        <w:t>各地不得将补助</w:t>
      </w:r>
      <w:r>
        <w:rPr>
          <w:rFonts w:hint="eastAsia"/>
          <w:highlight w:val="none"/>
          <w:lang w:eastAsia="zh-CN"/>
        </w:rPr>
        <w:t>经费</w:t>
      </w:r>
      <w:r>
        <w:rPr>
          <w:rFonts w:hint="eastAsia"/>
          <w:highlight w:val="none"/>
          <w:lang w:val="en-US" w:eastAsia="zh-CN"/>
        </w:rPr>
        <w:t>用于工作经费支出。各级财政部门应当根据优抚工作实际，在部门预算中安排必要的工作经费，保障优抚工作的顺利开展。</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ascii="仿宋_GB2312"/>
          <w:color w:val="000000" w:themeColor="text1"/>
          <w:szCs w:val="32"/>
          <w:highlight w:val="none"/>
          <w14:textFill>
            <w14:solidFill>
              <w14:schemeClr w14:val="tx1"/>
            </w14:solidFill>
          </w14:textFill>
        </w:rPr>
      </w:pPr>
      <w:r>
        <w:rPr>
          <w:rFonts w:hint="eastAsia" w:ascii="黑体" w:hAnsi="黑体" w:eastAsia="黑体" w:cs="黑体"/>
          <w:color w:val="000000" w:themeColor="text1"/>
          <w:szCs w:val="32"/>
          <w:highlight w:val="none"/>
          <w:shd w:val="clear" w:color="auto" w:fill="FFFFFF"/>
          <w14:textFill>
            <w14:solidFill>
              <w14:schemeClr w14:val="tx1"/>
            </w14:solidFill>
          </w14:textFill>
        </w:rPr>
        <w:t>第十条</w:t>
      </w:r>
      <w:r>
        <w:rPr>
          <w:rFonts w:hint="eastAsia" w:ascii="仿宋_GB2312" w:hAnsi="仿宋_GB2312" w:eastAsia="黑体" w:cs="仿宋_GB2312"/>
          <w:color w:val="000000" w:themeColor="text1"/>
          <w:szCs w:val="32"/>
          <w:highlight w:val="none"/>
          <w:shd w:val="clear" w:color="auto" w:fill="FFFFFF"/>
          <w:lang w:val="en-US" w:eastAsia="zh-CN"/>
          <w14:textFill>
            <w14:solidFill>
              <w14:schemeClr w14:val="tx1"/>
            </w14:solidFill>
          </w14:textFill>
        </w:rPr>
        <w:t xml:space="preserve">  </w:t>
      </w:r>
      <w:r>
        <w:rPr>
          <w:rFonts w:hint="eastAsia" w:ascii="仿宋_GB2312"/>
          <w:color w:val="000000" w:themeColor="text1"/>
          <w:szCs w:val="32"/>
          <w:highlight w:val="none"/>
          <w14:textFill>
            <w14:solidFill>
              <w14:schemeClr w14:val="tx1"/>
            </w14:solidFill>
          </w14:textFill>
        </w:rPr>
        <w:t>各级财政、退役军人事务部门应当强化补助</w:t>
      </w:r>
      <w:r>
        <w:rPr>
          <w:rFonts w:hint="eastAsia"/>
          <w:highlight w:val="none"/>
          <w:lang w:eastAsia="zh-CN"/>
        </w:rPr>
        <w:t>经费</w:t>
      </w:r>
      <w:r>
        <w:rPr>
          <w:rFonts w:hint="eastAsia" w:ascii="仿宋_GB2312"/>
          <w:color w:val="000000" w:themeColor="text1"/>
          <w:szCs w:val="32"/>
          <w:highlight w:val="none"/>
          <w14:textFill>
            <w14:solidFill>
              <w14:schemeClr w14:val="tx1"/>
            </w14:solidFill>
          </w14:textFill>
        </w:rPr>
        <w:t>的使用管理，并积极配合有关部门做好审计、稽查等工作。财政部各地监管局在规定职权范围内，依法对补助</w:t>
      </w:r>
      <w:r>
        <w:rPr>
          <w:rFonts w:hint="eastAsia"/>
          <w:highlight w:val="none"/>
          <w:lang w:eastAsia="zh-CN"/>
        </w:rPr>
        <w:t>经费</w:t>
      </w:r>
      <w:r>
        <w:rPr>
          <w:rFonts w:hint="eastAsia" w:ascii="仿宋_GB2312"/>
          <w:color w:val="000000" w:themeColor="text1"/>
          <w:szCs w:val="32"/>
          <w:highlight w:val="none"/>
          <w14:textFill>
            <w14:solidFill>
              <w14:schemeClr w14:val="tx1"/>
            </w14:solidFill>
          </w14:textFill>
        </w:rPr>
        <w:t>的使用管理情况进行监督。</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ascii="仿宋_GB2312"/>
          <w:color w:val="000000" w:themeColor="text1"/>
          <w:szCs w:val="32"/>
          <w:highlight w:val="none"/>
          <w14:textFill>
            <w14:solidFill>
              <w14:schemeClr w14:val="tx1"/>
            </w14:solidFill>
          </w14:textFill>
        </w:rPr>
      </w:pPr>
      <w:r>
        <w:rPr>
          <w:rFonts w:hint="eastAsia" w:ascii="仿宋_GB2312"/>
          <w:color w:val="000000" w:themeColor="text1"/>
          <w:szCs w:val="32"/>
          <w:highlight w:val="none"/>
          <w14:textFill>
            <w14:solidFill>
              <w14:schemeClr w14:val="tx1"/>
            </w14:solidFill>
          </w14:textFill>
        </w:rPr>
        <w:t>各级财政、退役军人事务部门</w:t>
      </w:r>
      <w:r>
        <w:rPr>
          <w:rFonts w:hint="eastAsia" w:ascii="仿宋_GB2312"/>
          <w:color w:val="000000" w:themeColor="text1"/>
          <w:szCs w:val="32"/>
          <w:highlight w:val="none"/>
          <w:lang w:eastAsia="zh-CN"/>
          <w14:textFill>
            <w14:solidFill>
              <w14:schemeClr w14:val="tx1"/>
            </w14:solidFill>
          </w14:textFill>
        </w:rPr>
        <w:t>及其</w:t>
      </w:r>
      <w:r>
        <w:rPr>
          <w:rFonts w:hint="eastAsia" w:ascii="仿宋_GB2312" w:hAnsi="仿宋_GB2312" w:cs="仿宋_GB2312"/>
          <w:color w:val="000000" w:themeColor="text1"/>
          <w:szCs w:val="32"/>
          <w:highlight w:val="none"/>
          <w:lang w:eastAsia="zh-CN"/>
          <w14:textFill>
            <w14:solidFill>
              <w14:schemeClr w14:val="tx1"/>
            </w14:solidFill>
          </w14:textFill>
        </w:rPr>
        <w:t>工作人员</w:t>
      </w:r>
      <w:r>
        <w:rPr>
          <w:rFonts w:hint="eastAsia" w:ascii="仿宋_GB2312" w:hAnsi="仿宋_GB2312" w:cs="仿宋_GB2312"/>
          <w:color w:val="000000" w:themeColor="text1"/>
          <w:szCs w:val="32"/>
          <w:highlight w:val="none"/>
          <w14:textFill>
            <w14:solidFill>
              <w14:schemeClr w14:val="tx1"/>
            </w14:solidFill>
          </w14:textFill>
        </w:rPr>
        <w:t>在补助</w:t>
      </w:r>
      <w:r>
        <w:rPr>
          <w:rFonts w:hint="eastAsia"/>
          <w:highlight w:val="none"/>
          <w:lang w:eastAsia="zh-CN"/>
        </w:rPr>
        <w:t>经费</w:t>
      </w:r>
      <w:r>
        <w:rPr>
          <w:rFonts w:hint="eastAsia" w:ascii="仿宋_GB2312" w:hAnsi="仿宋_GB2312" w:cs="仿宋_GB2312"/>
          <w:color w:val="000000" w:themeColor="text1"/>
          <w:szCs w:val="32"/>
          <w:highlight w:val="none"/>
          <w14:textFill>
            <w14:solidFill>
              <w14:schemeClr w14:val="tx1"/>
            </w14:solidFill>
          </w14:textFill>
        </w:rPr>
        <w:t>的分配、审核、使用、管理等工作中，存在违反本办法规定的行为，以及其他滥用职权、玩忽职守、徇私舞弊等违法违纪行为的，按照《中华人民共和国预算法》《中华人民共和国公务员法》《中华人民共和国监察法》《财政违法行为处罚处分条例》等国家有关规定追究相应责任</w:t>
      </w:r>
      <w:r>
        <w:rPr>
          <w:rFonts w:hint="eastAsia" w:ascii="仿宋_GB2312" w:hAnsi="仿宋_GB2312" w:cs="仿宋_GB2312"/>
          <w:color w:val="000000" w:themeColor="text1"/>
          <w:szCs w:val="32"/>
          <w:highlight w:val="none"/>
          <w:lang w:eastAsia="zh-CN"/>
          <w14:textFill>
            <w14:solidFill>
              <w14:schemeClr w14:val="tx1"/>
            </w14:solidFill>
          </w14:textFill>
        </w:rPr>
        <w:t>；</w:t>
      </w:r>
      <w:r>
        <w:rPr>
          <w:rFonts w:hint="eastAsia" w:ascii="仿宋_GB2312"/>
          <w:color w:val="000000" w:themeColor="text1"/>
          <w:szCs w:val="32"/>
          <w:highlight w:val="none"/>
          <w14:textFill>
            <w14:solidFill>
              <w14:schemeClr w14:val="tx1"/>
            </w14:solidFill>
          </w14:textFill>
        </w:rPr>
        <w:t>涉嫌犯罪的，依法移送司法机关处理。</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highlight w:val="none"/>
          <w:lang w:val="en-US" w:eastAsia="zh-CN"/>
        </w:rPr>
      </w:pPr>
      <w:r>
        <w:rPr>
          <w:rFonts w:hint="eastAsia" w:ascii="黑体" w:hAnsi="黑体" w:eastAsia="黑体" w:cs="黑体"/>
          <w:highlight w:val="none"/>
        </w:rPr>
        <w:t>第十一条</w:t>
      </w:r>
      <w:r>
        <w:rPr>
          <w:rFonts w:hint="eastAsia" w:eastAsia="黑体"/>
          <w:highlight w:val="none"/>
          <w:lang w:val="en-US" w:eastAsia="zh-CN"/>
        </w:rPr>
        <w:t xml:space="preserve">  </w:t>
      </w:r>
      <w:r>
        <w:rPr>
          <w:rFonts w:hint="eastAsia"/>
          <w:highlight w:val="none"/>
          <w:lang w:val="en-US" w:eastAsia="zh-CN"/>
        </w:rPr>
        <w:t>各省（自治区、直辖市）财政厅（局）、退役军人事务厅（局）可以依据本办法，结合当地实际，制定实施细则。</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rFonts w:hint="eastAsia"/>
          <w:highlight w:val="none"/>
          <w:lang w:val="en-US" w:eastAsia="zh-CN"/>
        </w:rPr>
      </w:pPr>
      <w:r>
        <w:rPr>
          <w:rFonts w:hint="eastAsia" w:ascii="黑体" w:hAnsi="黑体" w:eastAsia="黑体" w:cs="黑体"/>
          <w:highlight w:val="none"/>
        </w:rPr>
        <w:t>第十二条</w:t>
      </w:r>
      <w:r>
        <w:rPr>
          <w:rFonts w:hint="eastAsia" w:eastAsia="黑体"/>
          <w:highlight w:val="none"/>
          <w:lang w:val="en-US" w:eastAsia="zh-CN"/>
        </w:rPr>
        <w:t xml:space="preserve">  </w:t>
      </w:r>
      <w:r>
        <w:rPr>
          <w:rFonts w:hint="eastAsia"/>
          <w:highlight w:val="none"/>
          <w:lang w:val="en-US" w:eastAsia="zh-CN"/>
        </w:rPr>
        <w:t>本办法由财政部会同退役军人部负责解释。</w:t>
      </w:r>
    </w:p>
    <w:p>
      <w:pPr>
        <w:keepNext w:val="0"/>
        <w:keepLines w:val="0"/>
        <w:pageBreakBefore w:val="0"/>
        <w:widowControl w:val="0"/>
        <w:kinsoku/>
        <w:wordWrap/>
        <w:overflowPunct/>
        <w:topLinePunct w:val="0"/>
        <w:autoSpaceDE w:val="0"/>
        <w:autoSpaceDN w:val="0"/>
        <w:bidi w:val="0"/>
        <w:adjustRightInd w:val="0"/>
        <w:snapToGrid w:val="0"/>
        <w:spacing w:line="600" w:lineRule="exact"/>
        <w:ind w:firstLine="632" w:firstLineChars="200"/>
        <w:textAlignment w:val="auto"/>
        <w:rPr>
          <w:highlight w:val="none"/>
        </w:rPr>
      </w:pPr>
      <w:r>
        <w:rPr>
          <w:rFonts w:hint="eastAsia" w:ascii="黑体" w:hAnsi="黑体" w:eastAsia="黑体" w:cs="黑体"/>
          <w:highlight w:val="none"/>
        </w:rPr>
        <w:t>第十三条</w:t>
      </w:r>
      <w:r>
        <w:rPr>
          <w:rFonts w:hint="eastAsia" w:eastAsia="黑体"/>
          <w:highlight w:val="none"/>
          <w:lang w:val="en-US" w:eastAsia="zh-CN"/>
        </w:rPr>
        <w:t xml:space="preserve">  </w:t>
      </w:r>
      <w:r>
        <w:rPr>
          <w:rFonts w:hint="eastAsia"/>
          <w:highlight w:val="none"/>
        </w:rPr>
        <w:t>本</w:t>
      </w:r>
      <w:r>
        <w:rPr>
          <w:rFonts w:hint="eastAsia" w:ascii="仿宋_GB2312" w:hAnsi="仿宋_GB2312" w:cs="仿宋_GB2312"/>
          <w:color w:val="000000" w:themeColor="text1"/>
          <w:szCs w:val="32"/>
          <w:highlight w:val="none"/>
          <w:lang w:val="en-US" w:eastAsia="zh-CN"/>
          <w14:textFill>
            <w14:solidFill>
              <w14:schemeClr w14:val="tx1"/>
            </w14:solidFill>
          </w14:textFill>
        </w:rPr>
        <w:t>办法</w:t>
      </w:r>
      <w:r>
        <w:rPr>
          <w:rFonts w:hint="eastAsia"/>
          <w:highlight w:val="none"/>
          <w:lang w:val="en-US" w:eastAsia="zh-CN"/>
        </w:rPr>
        <w:t>自发布之日起施行。</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D6047D"/>
    <w:rsid w:val="07964A1F"/>
    <w:rsid w:val="07B40D18"/>
    <w:rsid w:val="0A8409F5"/>
    <w:rsid w:val="0AE75F3A"/>
    <w:rsid w:val="0DAD7469"/>
    <w:rsid w:val="12DB232B"/>
    <w:rsid w:val="135B17FF"/>
    <w:rsid w:val="163750B2"/>
    <w:rsid w:val="1A9606CF"/>
    <w:rsid w:val="22A737EE"/>
    <w:rsid w:val="2AEC6D83"/>
    <w:rsid w:val="2E9A4548"/>
    <w:rsid w:val="2ED14285"/>
    <w:rsid w:val="3F900EF0"/>
    <w:rsid w:val="41434C8C"/>
    <w:rsid w:val="47DD0870"/>
    <w:rsid w:val="53C33E83"/>
    <w:rsid w:val="57851A0F"/>
    <w:rsid w:val="5CC55CF0"/>
    <w:rsid w:val="6E324662"/>
    <w:rsid w:val="77C43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snapToGrid w:val="0"/>
      <w:spacing w:line="588" w:lineRule="atLeast"/>
      <w:jc w:val="both"/>
    </w:pPr>
    <w:rPr>
      <w:rFonts w:ascii="宋体" w:hAnsi="宋体" w:eastAsia="仿宋_GB2312" w:cs="Times New Roman"/>
      <w:spacing w:val="-2"/>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38</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2019-10-24T08:15:00Z</dcterms:created>
  <dc:creator>l</dc:creator>
  <cp:lastModifiedBy>史继术</cp:lastModifiedBy>
  <dcterms:modified xsi:type="dcterms:W3CDTF">2019-11-29T06:18:53Z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