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eastAsia="方正小标宋_GBK"/>
          <w:bCs/>
          <w:sz w:val="44"/>
          <w:szCs w:val="44"/>
        </w:rPr>
      </w:pPr>
      <w:bookmarkStart w:id="0" w:name="_GoBack"/>
      <w:bookmarkEnd w:id="0"/>
      <w:r>
        <w:rPr>
          <w:rFonts w:eastAsia="方正小标宋_GBK"/>
          <w:bCs/>
          <w:sz w:val="44"/>
          <w:szCs w:val="44"/>
        </w:rPr>
        <w:t>水利发展</w:t>
      </w:r>
      <w:r>
        <w:rPr>
          <w:rFonts w:hint="eastAsia" w:eastAsia="方正小标宋_GBK"/>
          <w:bCs/>
          <w:sz w:val="44"/>
          <w:szCs w:val="44"/>
        </w:rPr>
        <w:t>等专项</w:t>
      </w:r>
      <w:r>
        <w:rPr>
          <w:rFonts w:eastAsia="方正小标宋_GBK"/>
          <w:bCs/>
          <w:sz w:val="44"/>
          <w:szCs w:val="44"/>
        </w:rPr>
        <w:t>资金</w:t>
      </w:r>
      <w:r>
        <w:rPr>
          <w:rFonts w:hint="eastAsia" w:eastAsia="方正小标宋_GBK"/>
          <w:bCs/>
          <w:sz w:val="44"/>
          <w:szCs w:val="44"/>
        </w:rPr>
        <w:t>绩效评价</w:t>
      </w:r>
    </w:p>
    <w:p>
      <w:pPr>
        <w:spacing w:line="560" w:lineRule="exact"/>
        <w:jc w:val="center"/>
        <w:rPr>
          <w:rFonts w:eastAsia="方正小标宋_GBK"/>
          <w:bCs/>
          <w:sz w:val="44"/>
          <w:szCs w:val="44"/>
        </w:rPr>
      </w:pPr>
      <w:r>
        <w:rPr>
          <w:rFonts w:hint="eastAsia" w:eastAsia="方正小标宋_GBK"/>
          <w:bCs/>
          <w:sz w:val="44"/>
          <w:szCs w:val="44"/>
        </w:rPr>
        <w:t>工作</w:t>
      </w:r>
      <w:r>
        <w:rPr>
          <w:rFonts w:eastAsia="方正小标宋_GBK"/>
          <w:bCs/>
          <w:sz w:val="44"/>
          <w:szCs w:val="44"/>
        </w:rPr>
        <w:t>实施方案</w:t>
      </w:r>
    </w:p>
    <w:p>
      <w:pPr>
        <w:spacing w:line="560" w:lineRule="exact"/>
        <w:ind w:firstLine="636"/>
        <w:outlineLvl w:val="0"/>
        <w:rPr>
          <w:rFonts w:eastAsia="方正仿宋_GBK"/>
          <w:sz w:val="32"/>
          <w:szCs w:val="32"/>
        </w:rPr>
      </w:pPr>
    </w:p>
    <w:p>
      <w:pPr>
        <w:spacing w:line="580" w:lineRule="exact"/>
        <w:ind w:firstLine="636"/>
        <w:outlineLvl w:val="0"/>
        <w:rPr>
          <w:rFonts w:eastAsia="方正黑体_GBK"/>
          <w:b/>
          <w:sz w:val="32"/>
          <w:szCs w:val="32"/>
          <w:lang w:bidi="ar"/>
        </w:rPr>
      </w:pPr>
      <w:r>
        <w:rPr>
          <w:rFonts w:hint="eastAsia" w:eastAsia="方正黑体_GBK"/>
          <w:b/>
          <w:sz w:val="32"/>
          <w:szCs w:val="32"/>
          <w:lang w:bidi="ar"/>
        </w:rPr>
        <w:t>一</w:t>
      </w:r>
      <w:r>
        <w:rPr>
          <w:rFonts w:eastAsia="方正黑体_GBK"/>
          <w:b/>
          <w:sz w:val="32"/>
          <w:szCs w:val="32"/>
          <w:lang w:bidi="ar"/>
        </w:rPr>
        <w:t>、范围和内容</w:t>
      </w:r>
    </w:p>
    <w:p>
      <w:pPr>
        <w:numPr>
          <w:ilvl w:val="0"/>
          <w:numId w:val="1"/>
        </w:numPr>
        <w:spacing w:line="580" w:lineRule="exact"/>
        <w:ind w:firstLine="632" w:firstLineChars="200"/>
        <w:jc w:val="left"/>
        <w:outlineLvl w:val="1"/>
        <w:rPr>
          <w:rFonts w:eastAsia="方正楷体_GBK"/>
          <w:b/>
          <w:bCs/>
          <w:color w:val="000000"/>
          <w:sz w:val="32"/>
          <w:szCs w:val="32"/>
        </w:rPr>
      </w:pPr>
      <w:r>
        <w:rPr>
          <w:rFonts w:hint="eastAsia" w:eastAsia="方正楷体_GBK"/>
          <w:b/>
          <w:bCs/>
          <w:color w:val="000000"/>
          <w:sz w:val="32"/>
          <w:szCs w:val="32"/>
        </w:rPr>
        <w:t>评价范围</w:t>
      </w:r>
    </w:p>
    <w:p>
      <w:pPr>
        <w:spacing w:line="580" w:lineRule="exact"/>
        <w:ind w:firstLine="632" w:firstLineChars="200"/>
        <w:jc w:val="left"/>
        <w:rPr>
          <w:rFonts w:eastAsia="方正仿宋_GBK"/>
          <w:b/>
          <w:sz w:val="32"/>
          <w:szCs w:val="32"/>
        </w:rPr>
      </w:pPr>
      <w:r>
        <w:rPr>
          <w:rFonts w:hint="eastAsia" w:eastAsia="方正仿宋_GBK"/>
          <w:b/>
          <w:sz w:val="32"/>
          <w:szCs w:val="32"/>
        </w:rPr>
        <w:t>使用</w:t>
      </w:r>
      <w:r>
        <w:rPr>
          <w:rFonts w:eastAsia="方正仿宋_GBK"/>
          <w:b/>
          <w:sz w:val="32"/>
          <w:szCs w:val="32"/>
        </w:rPr>
        <w:t>202</w:t>
      </w:r>
      <w:r>
        <w:rPr>
          <w:rFonts w:hint="eastAsia" w:eastAsia="方正仿宋_GBK"/>
          <w:b/>
          <w:sz w:val="32"/>
          <w:szCs w:val="32"/>
          <w:lang w:val="en-US" w:eastAsia="zh-CN"/>
        </w:rPr>
        <w:t>5</w:t>
      </w:r>
      <w:r>
        <w:rPr>
          <w:rFonts w:eastAsia="方正仿宋_GBK"/>
          <w:b/>
          <w:sz w:val="32"/>
          <w:szCs w:val="32"/>
        </w:rPr>
        <w:t>年度中央</w:t>
      </w:r>
      <w:r>
        <w:rPr>
          <w:rFonts w:hint="eastAsia" w:eastAsia="方正仿宋_GBK"/>
          <w:b/>
          <w:sz w:val="32"/>
          <w:szCs w:val="32"/>
        </w:rPr>
        <w:t>和省级</w:t>
      </w:r>
      <w:r>
        <w:rPr>
          <w:rFonts w:eastAsia="方正仿宋_GBK"/>
          <w:b/>
          <w:sz w:val="32"/>
          <w:szCs w:val="32"/>
        </w:rPr>
        <w:t>水利发展资金</w:t>
      </w:r>
      <w:r>
        <w:rPr>
          <w:rFonts w:hint="eastAsia" w:eastAsia="方正仿宋_GBK"/>
          <w:b/>
          <w:sz w:val="32"/>
          <w:szCs w:val="32"/>
        </w:rPr>
        <w:t>、中央水库移民后扶资金的市、县（市、区）。</w:t>
      </w:r>
    </w:p>
    <w:p>
      <w:pPr>
        <w:spacing w:line="580" w:lineRule="exact"/>
        <w:ind w:firstLine="632" w:firstLineChars="200"/>
        <w:jc w:val="left"/>
        <w:rPr>
          <w:rFonts w:eastAsia="方正楷体_GBK"/>
          <w:b/>
          <w:bCs/>
          <w:color w:val="000000"/>
          <w:sz w:val="32"/>
          <w:szCs w:val="32"/>
        </w:rPr>
      </w:pPr>
      <w:r>
        <w:rPr>
          <w:rFonts w:eastAsia="方正楷体_GBK"/>
          <w:b/>
          <w:bCs/>
          <w:color w:val="000000"/>
          <w:sz w:val="32"/>
          <w:szCs w:val="32"/>
        </w:rPr>
        <w:t>（</w:t>
      </w:r>
      <w:r>
        <w:rPr>
          <w:rFonts w:hint="eastAsia" w:eastAsia="方正楷体_GBK"/>
          <w:b/>
          <w:bCs/>
          <w:color w:val="000000"/>
          <w:sz w:val="32"/>
          <w:szCs w:val="32"/>
        </w:rPr>
        <w:t>三</w:t>
      </w:r>
      <w:r>
        <w:rPr>
          <w:rFonts w:eastAsia="方正楷体_GBK"/>
          <w:b/>
          <w:bCs/>
          <w:color w:val="000000"/>
          <w:sz w:val="32"/>
          <w:szCs w:val="32"/>
        </w:rPr>
        <w:t>）</w:t>
      </w:r>
      <w:r>
        <w:rPr>
          <w:rFonts w:hint="eastAsia" w:eastAsia="方正楷体_GBK"/>
          <w:b/>
          <w:bCs/>
          <w:color w:val="000000"/>
          <w:sz w:val="32"/>
          <w:szCs w:val="32"/>
        </w:rPr>
        <w:t>评价内容</w:t>
      </w:r>
    </w:p>
    <w:p>
      <w:pPr>
        <w:spacing w:line="580" w:lineRule="exact"/>
        <w:ind w:firstLine="632" w:firstLineChars="200"/>
        <w:jc w:val="left"/>
        <w:rPr>
          <w:rFonts w:eastAsia="方正仿宋_GBK"/>
          <w:b/>
          <w:sz w:val="32"/>
          <w:szCs w:val="32"/>
        </w:rPr>
      </w:pPr>
      <w:r>
        <w:rPr>
          <w:rFonts w:eastAsia="方正仿宋_GBK"/>
          <w:b/>
          <w:sz w:val="32"/>
          <w:szCs w:val="32"/>
        </w:rPr>
        <w:t>1.决策管理方面：</w:t>
      </w:r>
      <w:r>
        <w:rPr>
          <w:rFonts w:hint="eastAsia" w:eastAsia="方正仿宋_GBK"/>
          <w:b/>
          <w:sz w:val="32"/>
          <w:szCs w:val="32"/>
        </w:rPr>
        <w:t>主要评价</w:t>
      </w:r>
      <w:r>
        <w:rPr>
          <w:rFonts w:eastAsia="方正仿宋_GBK"/>
          <w:b/>
          <w:sz w:val="32"/>
          <w:szCs w:val="32"/>
        </w:rPr>
        <w:t>绩效目标合理性和资金分配合理性</w:t>
      </w:r>
      <w:r>
        <w:rPr>
          <w:rFonts w:hint="eastAsia" w:eastAsia="方正仿宋_GBK"/>
          <w:b/>
          <w:sz w:val="32"/>
          <w:szCs w:val="32"/>
        </w:rPr>
        <w:t>；</w:t>
      </w:r>
      <w:r>
        <w:rPr>
          <w:rFonts w:eastAsia="方正仿宋_GBK"/>
          <w:b/>
          <w:sz w:val="32"/>
          <w:szCs w:val="32"/>
        </w:rPr>
        <w:t>财政资金到位</w:t>
      </w:r>
      <w:r>
        <w:rPr>
          <w:rFonts w:hint="eastAsia" w:eastAsia="方正仿宋_GBK"/>
          <w:b/>
          <w:sz w:val="32"/>
          <w:szCs w:val="32"/>
        </w:rPr>
        <w:t>、预算执行</w:t>
      </w:r>
      <w:r>
        <w:rPr>
          <w:rFonts w:eastAsia="方正仿宋_GBK"/>
          <w:b/>
          <w:sz w:val="32"/>
          <w:szCs w:val="32"/>
        </w:rPr>
        <w:t>及使用的合规性；组织机构</w:t>
      </w:r>
      <w:r>
        <w:rPr>
          <w:rFonts w:hint="eastAsia" w:eastAsia="方正仿宋_GBK"/>
          <w:b/>
          <w:sz w:val="32"/>
          <w:szCs w:val="32"/>
        </w:rPr>
        <w:t>及</w:t>
      </w:r>
      <w:r>
        <w:rPr>
          <w:rFonts w:eastAsia="方正仿宋_GBK"/>
          <w:b/>
          <w:sz w:val="32"/>
          <w:szCs w:val="32"/>
        </w:rPr>
        <w:t>制度健全、政府采购</w:t>
      </w:r>
      <w:r>
        <w:rPr>
          <w:rFonts w:hint="eastAsia" w:eastAsia="方正仿宋_GBK"/>
          <w:b/>
          <w:sz w:val="32"/>
          <w:szCs w:val="32"/>
        </w:rPr>
        <w:t>及招投标</w:t>
      </w:r>
      <w:r>
        <w:rPr>
          <w:rFonts w:eastAsia="方正仿宋_GBK"/>
          <w:b/>
          <w:sz w:val="32"/>
          <w:szCs w:val="32"/>
        </w:rPr>
        <w:t>规范、过程</w:t>
      </w:r>
      <w:r>
        <w:rPr>
          <w:rFonts w:hint="eastAsia" w:eastAsia="方正仿宋_GBK"/>
          <w:b/>
          <w:sz w:val="32"/>
          <w:szCs w:val="32"/>
        </w:rPr>
        <w:t>管理</w:t>
      </w:r>
      <w:r>
        <w:rPr>
          <w:rFonts w:eastAsia="方正仿宋_GBK"/>
          <w:b/>
          <w:sz w:val="32"/>
          <w:szCs w:val="32"/>
        </w:rPr>
        <w:t>监控有效性以及绩效管理情况。</w:t>
      </w:r>
    </w:p>
    <w:p>
      <w:pPr>
        <w:spacing w:line="580" w:lineRule="exact"/>
        <w:ind w:firstLine="632" w:firstLineChars="200"/>
        <w:jc w:val="left"/>
        <w:rPr>
          <w:rFonts w:eastAsia="方正仿宋_GBK"/>
          <w:b/>
          <w:sz w:val="32"/>
          <w:szCs w:val="32"/>
        </w:rPr>
      </w:pPr>
      <w:r>
        <w:rPr>
          <w:rFonts w:eastAsia="方正仿宋_GBK"/>
          <w:b/>
          <w:sz w:val="32"/>
          <w:szCs w:val="32"/>
        </w:rPr>
        <w:t>2.产出方面：</w:t>
      </w:r>
      <w:r>
        <w:rPr>
          <w:rFonts w:hint="eastAsia" w:eastAsia="方正仿宋_GBK"/>
          <w:b/>
          <w:sz w:val="32"/>
          <w:szCs w:val="32"/>
        </w:rPr>
        <w:t>主要评价产出效益</w:t>
      </w:r>
      <w:r>
        <w:rPr>
          <w:rFonts w:eastAsia="方正仿宋_GBK"/>
          <w:b/>
          <w:sz w:val="32"/>
          <w:szCs w:val="32"/>
        </w:rPr>
        <w:t>数据的完整</w:t>
      </w:r>
      <w:r>
        <w:rPr>
          <w:rFonts w:hint="eastAsia" w:eastAsia="方正仿宋_GBK"/>
          <w:b/>
          <w:sz w:val="32"/>
          <w:szCs w:val="32"/>
        </w:rPr>
        <w:t>、</w:t>
      </w:r>
      <w:r>
        <w:rPr>
          <w:rFonts w:eastAsia="方正仿宋_GBK"/>
          <w:b/>
          <w:sz w:val="32"/>
          <w:szCs w:val="32"/>
        </w:rPr>
        <w:t>准确性，以及评价评分结果结论的客观公正性，并结合财政监督检查、审计等结论，核查其对存在问题的自查披露情况，以及自纠整改措施的有效性等情况。</w:t>
      </w:r>
    </w:p>
    <w:p>
      <w:pPr>
        <w:spacing w:line="580" w:lineRule="exact"/>
        <w:ind w:firstLine="632" w:firstLineChars="200"/>
        <w:rPr>
          <w:rFonts w:eastAsia="方正仿宋_GBK"/>
          <w:b/>
          <w:sz w:val="32"/>
          <w:szCs w:val="32"/>
          <w:lang w:bidi="ar"/>
        </w:rPr>
      </w:pPr>
      <w:r>
        <w:rPr>
          <w:rFonts w:eastAsia="方正仿宋_GBK"/>
          <w:b/>
          <w:sz w:val="32"/>
          <w:szCs w:val="32"/>
        </w:rPr>
        <w:t>3.效益和满意度：自评</w:t>
      </w:r>
      <w:r>
        <w:rPr>
          <w:rFonts w:hint="eastAsia" w:eastAsia="方正仿宋_GBK"/>
          <w:b/>
          <w:sz w:val="32"/>
          <w:szCs w:val="32"/>
        </w:rPr>
        <w:t>单位</w:t>
      </w:r>
      <w:r>
        <w:rPr>
          <w:rFonts w:eastAsia="方正仿宋_GBK"/>
          <w:b/>
          <w:sz w:val="32"/>
          <w:szCs w:val="32"/>
        </w:rPr>
        <w:t>提供数据佐证材料，说明数据来源。</w:t>
      </w:r>
    </w:p>
    <w:p>
      <w:pPr>
        <w:spacing w:line="580" w:lineRule="exact"/>
        <w:ind w:firstLine="632" w:firstLineChars="200"/>
        <w:jc w:val="left"/>
        <w:rPr>
          <w:rFonts w:eastAsia="方正仿宋_GBK"/>
          <w:b/>
          <w:sz w:val="32"/>
          <w:szCs w:val="32"/>
        </w:rPr>
      </w:pPr>
      <w:r>
        <w:rPr>
          <w:rFonts w:hint="eastAsia" w:eastAsia="方正仿宋_GBK"/>
          <w:b/>
          <w:sz w:val="32"/>
          <w:szCs w:val="32"/>
        </w:rPr>
        <w:t>具体根据《202</w:t>
      </w:r>
      <w:r>
        <w:rPr>
          <w:rFonts w:hint="eastAsia" w:eastAsia="方正仿宋_GBK"/>
          <w:b/>
          <w:sz w:val="32"/>
          <w:szCs w:val="32"/>
          <w:lang w:val="en-US" w:eastAsia="zh-CN"/>
        </w:rPr>
        <w:t>5</w:t>
      </w:r>
      <w:r>
        <w:rPr>
          <w:rFonts w:hint="eastAsia" w:eastAsia="方正仿宋_GBK"/>
          <w:b/>
          <w:sz w:val="32"/>
          <w:szCs w:val="32"/>
        </w:rPr>
        <w:t>年度水利发展资金绩效评价打分表》（附件1）和《202</w:t>
      </w:r>
      <w:r>
        <w:rPr>
          <w:rFonts w:hint="eastAsia" w:eastAsia="方正仿宋_GBK"/>
          <w:b/>
          <w:sz w:val="32"/>
          <w:szCs w:val="32"/>
          <w:lang w:val="en-US" w:eastAsia="zh-CN"/>
        </w:rPr>
        <w:t>5</w:t>
      </w:r>
      <w:r>
        <w:rPr>
          <w:rFonts w:hint="eastAsia" w:eastAsia="方正仿宋_GBK"/>
          <w:b/>
          <w:sz w:val="32"/>
          <w:szCs w:val="32"/>
        </w:rPr>
        <w:t>年度水库移民后扶资金绩效评价打分表》（附件2），分别对使用202</w:t>
      </w:r>
      <w:r>
        <w:rPr>
          <w:rFonts w:hint="eastAsia" w:eastAsia="方正仿宋_GBK"/>
          <w:b/>
          <w:sz w:val="32"/>
          <w:szCs w:val="32"/>
          <w:lang w:val="en-US" w:eastAsia="zh-CN"/>
        </w:rPr>
        <w:t>5</w:t>
      </w:r>
      <w:r>
        <w:rPr>
          <w:rFonts w:hint="eastAsia" w:eastAsia="方正仿宋_GBK"/>
          <w:b/>
          <w:sz w:val="32"/>
          <w:szCs w:val="32"/>
        </w:rPr>
        <w:t>年度中央、省级水利发展资金和中央水库移民后扶资金的所有县（市、区）进行绩效评价。</w:t>
      </w:r>
    </w:p>
    <w:p>
      <w:pPr>
        <w:spacing w:line="580" w:lineRule="exact"/>
        <w:ind w:firstLine="636"/>
        <w:jc w:val="left"/>
        <w:outlineLvl w:val="0"/>
        <w:rPr>
          <w:rFonts w:eastAsia="方正黑体_GBK"/>
          <w:b/>
          <w:sz w:val="32"/>
          <w:szCs w:val="32"/>
          <w:lang w:bidi="ar"/>
        </w:rPr>
      </w:pPr>
      <w:r>
        <w:rPr>
          <w:rFonts w:hint="eastAsia" w:eastAsia="方正黑体_GBK"/>
          <w:b/>
          <w:sz w:val="32"/>
          <w:szCs w:val="32"/>
          <w:lang w:bidi="ar"/>
        </w:rPr>
        <w:t>二</w:t>
      </w:r>
      <w:r>
        <w:rPr>
          <w:rFonts w:eastAsia="方正黑体_GBK"/>
          <w:b/>
          <w:sz w:val="32"/>
          <w:szCs w:val="32"/>
          <w:lang w:bidi="ar"/>
        </w:rPr>
        <w:t>、</w:t>
      </w:r>
      <w:r>
        <w:rPr>
          <w:rFonts w:hint="eastAsia" w:eastAsia="方正黑体_GBK"/>
          <w:b/>
          <w:sz w:val="32"/>
          <w:szCs w:val="32"/>
          <w:lang w:bidi="ar"/>
        </w:rPr>
        <w:t>职责分工</w:t>
      </w:r>
    </w:p>
    <w:p>
      <w:pPr>
        <w:spacing w:line="580" w:lineRule="exact"/>
        <w:ind w:firstLine="632" w:firstLineChars="200"/>
        <w:jc w:val="left"/>
        <w:rPr>
          <w:rFonts w:eastAsia="方正仿宋_GBK"/>
          <w:b/>
          <w:sz w:val="32"/>
          <w:szCs w:val="32"/>
        </w:rPr>
      </w:pPr>
      <w:r>
        <w:rPr>
          <w:rFonts w:hint="eastAsia" w:eastAsia="方正仿宋_GBK"/>
          <w:b/>
          <w:sz w:val="32"/>
          <w:szCs w:val="32"/>
        </w:rPr>
        <w:t>绩效评价</w:t>
      </w:r>
      <w:r>
        <w:rPr>
          <w:rFonts w:eastAsia="方正仿宋_GBK"/>
          <w:b/>
          <w:sz w:val="32"/>
          <w:szCs w:val="32"/>
        </w:rPr>
        <w:t>工作由</w:t>
      </w:r>
      <w:r>
        <w:rPr>
          <w:rFonts w:hint="eastAsia" w:eastAsia="方正仿宋_GBK"/>
          <w:b/>
          <w:sz w:val="32"/>
          <w:szCs w:val="32"/>
        </w:rPr>
        <w:t>省财政厅农业农村处和</w:t>
      </w:r>
      <w:r>
        <w:rPr>
          <w:rFonts w:eastAsia="方正仿宋_GBK"/>
          <w:b/>
          <w:sz w:val="32"/>
          <w:szCs w:val="32"/>
        </w:rPr>
        <w:t>省水利厅财务审计处</w:t>
      </w:r>
      <w:r>
        <w:rPr>
          <w:rFonts w:hint="eastAsia" w:eastAsia="方正仿宋_GBK"/>
          <w:b/>
          <w:sz w:val="32"/>
          <w:szCs w:val="32"/>
        </w:rPr>
        <w:t>共同组织</w:t>
      </w:r>
      <w:r>
        <w:rPr>
          <w:rFonts w:eastAsia="方正仿宋_GBK"/>
          <w:b/>
          <w:sz w:val="32"/>
          <w:szCs w:val="32"/>
        </w:rPr>
        <w:t>，负责总体</w:t>
      </w:r>
      <w:r>
        <w:rPr>
          <w:rFonts w:hint="eastAsia" w:eastAsia="方正仿宋_GBK"/>
          <w:b/>
          <w:sz w:val="32"/>
          <w:szCs w:val="32"/>
        </w:rPr>
        <w:t>安排</w:t>
      </w:r>
      <w:r>
        <w:rPr>
          <w:rFonts w:eastAsia="方正仿宋_GBK"/>
          <w:b/>
          <w:sz w:val="32"/>
          <w:szCs w:val="32"/>
        </w:rPr>
        <w:t>及工作布置</w:t>
      </w:r>
      <w:r>
        <w:rPr>
          <w:rFonts w:hint="eastAsia" w:eastAsia="方正仿宋_GBK"/>
          <w:b/>
          <w:sz w:val="32"/>
          <w:szCs w:val="32"/>
        </w:rPr>
        <w:t>，省水利厅业务部门协助；设区市水利（务）局财务部门和移民管理部门分别负责本级及辖管县（区、市）水利发展资金和水库移民后扶资金评价组织协调工作；</w:t>
      </w:r>
      <w:r>
        <w:rPr>
          <w:rFonts w:eastAsia="方正仿宋_GBK"/>
          <w:b/>
          <w:sz w:val="32"/>
          <w:szCs w:val="32"/>
        </w:rPr>
        <w:t>县（市、区）水利</w:t>
      </w:r>
      <w:r>
        <w:rPr>
          <w:rFonts w:hint="eastAsia" w:eastAsia="方正仿宋_GBK"/>
          <w:b/>
          <w:sz w:val="32"/>
          <w:szCs w:val="32"/>
        </w:rPr>
        <w:t>（务）局财务</w:t>
      </w:r>
      <w:r>
        <w:rPr>
          <w:rFonts w:eastAsia="方正仿宋_GBK"/>
          <w:b/>
          <w:sz w:val="32"/>
          <w:szCs w:val="32"/>
        </w:rPr>
        <w:t>部门</w:t>
      </w:r>
      <w:r>
        <w:rPr>
          <w:rFonts w:hint="eastAsia" w:eastAsia="方正仿宋_GBK"/>
          <w:b/>
          <w:sz w:val="32"/>
          <w:szCs w:val="32"/>
        </w:rPr>
        <w:t>和移民管理部门</w:t>
      </w:r>
      <w:r>
        <w:rPr>
          <w:rFonts w:eastAsia="方正仿宋_GBK"/>
          <w:b/>
          <w:sz w:val="32"/>
          <w:szCs w:val="32"/>
        </w:rPr>
        <w:t>负责协</w:t>
      </w:r>
      <w:r>
        <w:rPr>
          <w:rFonts w:hint="eastAsia" w:eastAsia="方正仿宋_GBK"/>
          <w:b/>
          <w:sz w:val="32"/>
          <w:szCs w:val="32"/>
        </w:rPr>
        <w:t>调提供绩效评价所需资料等各项配合</w:t>
      </w:r>
      <w:r>
        <w:rPr>
          <w:rFonts w:eastAsia="方正仿宋_GBK"/>
          <w:b/>
          <w:sz w:val="32"/>
          <w:szCs w:val="32"/>
        </w:rPr>
        <w:t>工作。</w:t>
      </w:r>
      <w:r>
        <w:rPr>
          <w:rFonts w:hint="eastAsia" w:eastAsia="方正仿宋_GBK"/>
          <w:b/>
          <w:sz w:val="32"/>
          <w:szCs w:val="32"/>
        </w:rPr>
        <w:t xml:space="preserve">市县财政部门协同水利部门做好评价配合工作。 </w:t>
      </w:r>
    </w:p>
    <w:p>
      <w:pPr>
        <w:spacing w:line="580" w:lineRule="exact"/>
        <w:ind w:firstLine="632" w:firstLineChars="200"/>
        <w:jc w:val="left"/>
        <w:rPr>
          <w:rFonts w:eastAsia="方正仿宋_GBK"/>
          <w:b/>
          <w:sz w:val="32"/>
          <w:szCs w:val="32"/>
        </w:rPr>
      </w:pPr>
      <w:r>
        <w:rPr>
          <w:rFonts w:hint="eastAsia" w:eastAsia="方正仿宋_GBK"/>
          <w:b/>
          <w:sz w:val="32"/>
          <w:szCs w:val="32"/>
        </w:rPr>
        <w:t>绩效评价工作由省水利厅通过政府采购方式选择第三方机构具体实施。采取线上评价和现场评价相结合方式进行，其中对32个</w:t>
      </w:r>
      <w:r>
        <w:rPr>
          <w:rFonts w:eastAsia="方正仿宋_GBK"/>
          <w:b/>
          <w:sz w:val="32"/>
          <w:szCs w:val="32"/>
        </w:rPr>
        <w:t>县（市、区）</w:t>
      </w:r>
      <w:r>
        <w:rPr>
          <w:rFonts w:hint="eastAsia" w:eastAsia="方正仿宋_GBK"/>
          <w:b/>
          <w:sz w:val="32"/>
          <w:szCs w:val="32"/>
        </w:rPr>
        <w:t>进行现场评价，其他</w:t>
      </w:r>
      <w:r>
        <w:rPr>
          <w:rFonts w:eastAsia="方正仿宋_GBK"/>
          <w:b/>
          <w:sz w:val="32"/>
          <w:szCs w:val="32"/>
        </w:rPr>
        <w:t>县（市、区）</w:t>
      </w:r>
      <w:r>
        <w:rPr>
          <w:rFonts w:hint="eastAsia" w:eastAsia="方正仿宋_GBK"/>
          <w:b/>
          <w:sz w:val="32"/>
          <w:szCs w:val="32"/>
        </w:rPr>
        <w:t>进行线上评价。</w:t>
      </w:r>
    </w:p>
    <w:p>
      <w:pPr>
        <w:spacing w:line="580" w:lineRule="exact"/>
        <w:ind w:firstLine="636"/>
        <w:outlineLvl w:val="0"/>
        <w:rPr>
          <w:rFonts w:eastAsia="方正黑体_GBK"/>
          <w:b/>
          <w:sz w:val="32"/>
          <w:szCs w:val="32"/>
          <w:lang w:bidi="ar"/>
        </w:rPr>
      </w:pPr>
      <w:r>
        <w:rPr>
          <w:rFonts w:hint="eastAsia" w:eastAsia="方正黑体_GBK"/>
          <w:b/>
          <w:sz w:val="32"/>
          <w:szCs w:val="32"/>
          <w:lang w:bidi="ar"/>
        </w:rPr>
        <w:t>三</w:t>
      </w:r>
      <w:r>
        <w:rPr>
          <w:rFonts w:eastAsia="方正黑体_GBK"/>
          <w:b/>
          <w:sz w:val="32"/>
          <w:szCs w:val="32"/>
          <w:lang w:bidi="ar"/>
        </w:rPr>
        <w:t>、</w:t>
      </w:r>
      <w:r>
        <w:rPr>
          <w:rFonts w:hint="eastAsia" w:eastAsia="方正黑体_GBK"/>
          <w:b/>
          <w:sz w:val="32"/>
          <w:szCs w:val="32"/>
          <w:lang w:bidi="ar"/>
        </w:rPr>
        <w:t>组织</w:t>
      </w:r>
      <w:r>
        <w:rPr>
          <w:rFonts w:eastAsia="方正黑体_GBK"/>
          <w:b/>
          <w:sz w:val="32"/>
          <w:szCs w:val="32"/>
          <w:lang w:bidi="ar"/>
        </w:rPr>
        <w:t>实施</w:t>
      </w:r>
    </w:p>
    <w:p>
      <w:pPr>
        <w:spacing w:line="580" w:lineRule="exact"/>
        <w:ind w:firstLine="632" w:firstLineChars="200"/>
        <w:jc w:val="left"/>
        <w:rPr>
          <w:rFonts w:eastAsia="方正仿宋_GBK"/>
          <w:b/>
          <w:sz w:val="32"/>
          <w:szCs w:val="32"/>
        </w:rPr>
      </w:pPr>
      <w:r>
        <w:rPr>
          <w:rFonts w:eastAsia="方正仿宋_GBK"/>
          <w:b/>
          <w:sz w:val="32"/>
          <w:szCs w:val="32"/>
        </w:rPr>
        <w:t>本次</w:t>
      </w:r>
      <w:r>
        <w:rPr>
          <w:rFonts w:hint="eastAsia" w:eastAsia="方正仿宋_GBK"/>
          <w:b/>
          <w:sz w:val="32"/>
          <w:szCs w:val="32"/>
        </w:rPr>
        <w:t>绩效评价</w:t>
      </w:r>
      <w:r>
        <w:rPr>
          <w:rFonts w:eastAsia="方正仿宋_GBK"/>
          <w:b/>
          <w:sz w:val="32"/>
          <w:szCs w:val="32"/>
        </w:rPr>
        <w:t>工作从202</w:t>
      </w:r>
      <w:r>
        <w:rPr>
          <w:rFonts w:hint="eastAsia" w:eastAsia="方正仿宋_GBK"/>
          <w:b/>
          <w:sz w:val="32"/>
          <w:szCs w:val="32"/>
          <w:lang w:val="en-US" w:eastAsia="zh-CN"/>
        </w:rPr>
        <w:t>6</w:t>
      </w:r>
      <w:r>
        <w:rPr>
          <w:rFonts w:eastAsia="方正仿宋_GBK"/>
          <w:b/>
          <w:sz w:val="32"/>
          <w:szCs w:val="32"/>
        </w:rPr>
        <w:t>年7月开始，到202</w:t>
      </w:r>
      <w:r>
        <w:rPr>
          <w:rFonts w:hint="eastAsia" w:eastAsia="方正仿宋_GBK"/>
          <w:b/>
          <w:sz w:val="32"/>
          <w:szCs w:val="32"/>
          <w:lang w:val="en-US" w:eastAsia="zh-CN"/>
        </w:rPr>
        <w:t>6</w:t>
      </w:r>
      <w:r>
        <w:rPr>
          <w:rFonts w:eastAsia="方正仿宋_GBK"/>
          <w:b/>
          <w:sz w:val="32"/>
          <w:szCs w:val="32"/>
        </w:rPr>
        <w:t>年</w:t>
      </w:r>
      <w:r>
        <w:rPr>
          <w:rFonts w:hint="eastAsia" w:eastAsia="方正仿宋_GBK"/>
          <w:b/>
          <w:sz w:val="32"/>
          <w:szCs w:val="32"/>
        </w:rPr>
        <w:t>10</w:t>
      </w:r>
      <w:r>
        <w:rPr>
          <w:rFonts w:eastAsia="方正仿宋_GBK"/>
          <w:b/>
          <w:sz w:val="32"/>
          <w:szCs w:val="32"/>
        </w:rPr>
        <w:t>月底完成。具体分为三个阶段进行：</w:t>
      </w:r>
    </w:p>
    <w:p>
      <w:pPr>
        <w:numPr>
          <w:ilvl w:val="255"/>
          <w:numId w:val="0"/>
        </w:numPr>
        <w:spacing w:line="580" w:lineRule="exact"/>
        <w:ind w:firstLine="632" w:firstLineChars="200"/>
        <w:jc w:val="left"/>
        <w:outlineLvl w:val="1"/>
        <w:rPr>
          <w:rFonts w:eastAsia="方正楷体_GBK"/>
          <w:b/>
          <w:bCs/>
          <w:sz w:val="32"/>
          <w:szCs w:val="32"/>
          <w:lang w:bidi="ar"/>
        </w:rPr>
      </w:pPr>
      <w:r>
        <w:rPr>
          <w:rFonts w:eastAsia="方正楷体_GBK"/>
          <w:b/>
          <w:bCs/>
          <w:color w:val="000000"/>
          <w:sz w:val="32"/>
          <w:szCs w:val="32"/>
          <w:lang w:bidi="ar"/>
        </w:rPr>
        <w:t>（一）前期准备阶段</w:t>
      </w:r>
      <w:r>
        <w:rPr>
          <w:rFonts w:hint="eastAsia" w:eastAsia="方正楷体_GBK"/>
          <w:b/>
          <w:bCs/>
          <w:sz w:val="32"/>
          <w:szCs w:val="32"/>
          <w:lang w:bidi="ar"/>
        </w:rPr>
        <w:t>（7月上、中旬）</w:t>
      </w:r>
    </w:p>
    <w:p>
      <w:pPr>
        <w:pStyle w:val="36"/>
        <w:spacing w:line="580" w:lineRule="exact"/>
        <w:ind w:firstLine="633"/>
        <w:rPr>
          <w:rFonts w:ascii="Calibri" w:hAnsi="Calibri" w:eastAsia="方正仿宋_GBK"/>
          <w:b/>
          <w:sz w:val="32"/>
          <w:szCs w:val="32"/>
          <w:lang w:val="en-US"/>
        </w:rPr>
      </w:pPr>
      <w:r>
        <w:rPr>
          <w:rFonts w:hint="eastAsia" w:ascii="Calibri" w:hAnsi="Calibri" w:eastAsia="方正仿宋_GBK"/>
          <w:b/>
          <w:sz w:val="32"/>
          <w:szCs w:val="32"/>
          <w:lang w:val="en-US"/>
        </w:rPr>
        <w:t>细化绩效评价工作实施方案，</w:t>
      </w:r>
      <w:r>
        <w:rPr>
          <w:rFonts w:hint="eastAsia" w:eastAsia="方正仿宋_GBK"/>
          <w:b/>
          <w:sz w:val="32"/>
          <w:szCs w:val="32"/>
        </w:rPr>
        <w:t>收集绩效评价相关法规制度文件，</w:t>
      </w:r>
      <w:r>
        <w:rPr>
          <w:rFonts w:hint="eastAsia" w:ascii="Calibri" w:hAnsi="Calibri" w:eastAsia="方正仿宋_GBK"/>
          <w:b/>
          <w:sz w:val="32"/>
          <w:szCs w:val="32"/>
          <w:lang w:val="en-US"/>
        </w:rPr>
        <w:t>组织评价组成员进行集中培训学习。</w:t>
      </w:r>
    </w:p>
    <w:p>
      <w:pPr>
        <w:numPr>
          <w:ilvl w:val="255"/>
          <w:numId w:val="0"/>
        </w:numPr>
        <w:spacing w:line="580" w:lineRule="exact"/>
        <w:ind w:firstLine="632" w:firstLineChars="200"/>
        <w:jc w:val="left"/>
        <w:outlineLvl w:val="1"/>
        <w:rPr>
          <w:rFonts w:eastAsia="方正楷体_GBK"/>
          <w:b/>
          <w:bCs/>
          <w:color w:val="000000"/>
          <w:sz w:val="32"/>
          <w:szCs w:val="32"/>
        </w:rPr>
      </w:pPr>
      <w:r>
        <w:rPr>
          <w:rFonts w:eastAsia="方正楷体_GBK"/>
          <w:b/>
          <w:bCs/>
          <w:color w:val="000000"/>
          <w:sz w:val="32"/>
          <w:szCs w:val="32"/>
          <w:lang w:bidi="ar"/>
        </w:rPr>
        <w:t>（二）</w:t>
      </w:r>
      <w:r>
        <w:rPr>
          <w:rFonts w:hint="eastAsia" w:eastAsia="方正楷体_GBK"/>
          <w:b/>
          <w:bCs/>
          <w:color w:val="000000"/>
          <w:sz w:val="32"/>
          <w:szCs w:val="32"/>
          <w:lang w:bidi="ar"/>
        </w:rPr>
        <w:t>实施</w:t>
      </w:r>
      <w:r>
        <w:rPr>
          <w:rFonts w:eastAsia="方正楷体_GBK"/>
          <w:b/>
          <w:bCs/>
          <w:color w:val="000000"/>
          <w:sz w:val="32"/>
          <w:szCs w:val="32"/>
          <w:lang w:bidi="ar"/>
        </w:rPr>
        <w:t>阶段（7月下旬-</w:t>
      </w:r>
      <w:r>
        <w:rPr>
          <w:rFonts w:hint="eastAsia" w:eastAsia="方正楷体_GBK"/>
          <w:b/>
          <w:bCs/>
          <w:color w:val="000000"/>
          <w:sz w:val="32"/>
          <w:szCs w:val="32"/>
          <w:lang w:bidi="ar"/>
        </w:rPr>
        <w:t>9</w:t>
      </w:r>
      <w:r>
        <w:rPr>
          <w:rFonts w:eastAsia="方正楷体_GBK"/>
          <w:b/>
          <w:bCs/>
          <w:color w:val="000000"/>
          <w:sz w:val="32"/>
          <w:szCs w:val="32"/>
          <w:lang w:bidi="ar"/>
        </w:rPr>
        <w:t>月底）</w:t>
      </w:r>
    </w:p>
    <w:p>
      <w:pPr>
        <w:pStyle w:val="36"/>
        <w:spacing w:line="580" w:lineRule="exact"/>
        <w:ind w:firstLine="633"/>
        <w:rPr>
          <w:rFonts w:ascii="Calibri" w:hAnsi="Calibri" w:eastAsia="方正仿宋_GBK"/>
          <w:b/>
          <w:sz w:val="32"/>
          <w:szCs w:val="32"/>
          <w:lang w:val="en-US"/>
        </w:rPr>
      </w:pPr>
      <w:r>
        <w:rPr>
          <w:rFonts w:ascii="Calibri" w:hAnsi="Calibri" w:eastAsia="方正仿宋_GBK"/>
          <w:b/>
          <w:sz w:val="32"/>
          <w:szCs w:val="32"/>
          <w:lang w:val="en-US"/>
        </w:rPr>
        <w:t>本阶段工作</w:t>
      </w:r>
      <w:r>
        <w:rPr>
          <w:rFonts w:hint="eastAsia" w:ascii="Calibri" w:hAnsi="Calibri" w:eastAsia="方正仿宋_GBK"/>
          <w:b/>
          <w:sz w:val="32"/>
          <w:szCs w:val="32"/>
          <w:lang w:val="en-US"/>
        </w:rPr>
        <w:t>分为现场绩效评价、线上绩效评价两种方式。</w:t>
      </w:r>
    </w:p>
    <w:p>
      <w:pPr>
        <w:pStyle w:val="36"/>
        <w:spacing w:line="580" w:lineRule="exact"/>
        <w:ind w:firstLine="633"/>
        <w:rPr>
          <w:rFonts w:ascii="Calibri" w:hAnsi="Calibri" w:eastAsia="方正仿宋_GBK"/>
          <w:b/>
          <w:sz w:val="32"/>
          <w:szCs w:val="32"/>
          <w:lang w:val="en-US"/>
        </w:rPr>
      </w:pPr>
      <w:r>
        <w:rPr>
          <w:rFonts w:hint="eastAsia" w:ascii="Calibri" w:hAnsi="Calibri" w:eastAsia="方正仿宋_GBK"/>
          <w:b/>
          <w:sz w:val="32"/>
          <w:szCs w:val="32"/>
          <w:lang w:val="en-US"/>
        </w:rPr>
        <w:t>1.现场评价。包括32个县（市、区），每个县（市、区）评价时间平均约为2天。现场形成每个县（市、区）绩效成果材料，</w:t>
      </w:r>
      <w:r>
        <w:rPr>
          <w:rFonts w:ascii="Calibri" w:hAnsi="Calibri" w:eastAsia="方正仿宋_GBK"/>
          <w:b/>
          <w:sz w:val="32"/>
          <w:szCs w:val="32"/>
          <w:lang w:val="en-US"/>
        </w:rPr>
        <w:t>并</w:t>
      </w:r>
      <w:r>
        <w:rPr>
          <w:rFonts w:hint="eastAsia" w:ascii="Calibri" w:hAnsi="Calibri" w:eastAsia="方正仿宋_GBK"/>
          <w:b/>
          <w:sz w:val="32"/>
          <w:szCs w:val="32"/>
          <w:lang w:val="en-US"/>
        </w:rPr>
        <w:t>初步</w:t>
      </w:r>
      <w:r>
        <w:rPr>
          <w:rFonts w:ascii="Calibri" w:hAnsi="Calibri" w:eastAsia="方正仿宋_GBK"/>
          <w:b/>
          <w:sz w:val="32"/>
          <w:szCs w:val="32"/>
          <w:lang w:val="en-US"/>
        </w:rPr>
        <w:t>征求被</w:t>
      </w:r>
      <w:r>
        <w:rPr>
          <w:rFonts w:hint="eastAsia" w:ascii="Calibri" w:hAnsi="Calibri" w:eastAsia="方正仿宋_GBK"/>
          <w:b/>
          <w:sz w:val="32"/>
          <w:szCs w:val="32"/>
          <w:lang w:val="en-US"/>
        </w:rPr>
        <w:t>评价单位意见</w:t>
      </w:r>
      <w:r>
        <w:rPr>
          <w:rFonts w:ascii="Calibri" w:hAnsi="Calibri" w:eastAsia="方正仿宋_GBK"/>
          <w:b/>
          <w:sz w:val="32"/>
          <w:szCs w:val="32"/>
          <w:lang w:val="en-US"/>
        </w:rPr>
        <w:t>。</w:t>
      </w:r>
    </w:p>
    <w:p>
      <w:pPr>
        <w:pStyle w:val="36"/>
        <w:spacing w:line="580" w:lineRule="exact"/>
        <w:ind w:firstLine="633"/>
        <w:rPr>
          <w:rFonts w:ascii="Calibri" w:hAnsi="Calibri" w:eastAsia="方正仿宋_GBK"/>
          <w:b/>
          <w:sz w:val="32"/>
          <w:szCs w:val="32"/>
          <w:lang w:val="en-US"/>
        </w:rPr>
      </w:pPr>
      <w:r>
        <w:rPr>
          <w:rFonts w:hint="eastAsia" w:ascii="Calibri" w:hAnsi="Calibri" w:eastAsia="方正仿宋_GBK"/>
          <w:b/>
          <w:sz w:val="32"/>
          <w:szCs w:val="32"/>
          <w:lang w:val="en-US"/>
        </w:rPr>
        <w:t>2.线上评价。未进行现场评价的</w:t>
      </w:r>
      <w:r>
        <w:rPr>
          <w:rFonts w:ascii="Calibri" w:hAnsi="Calibri" w:eastAsia="方正仿宋_GBK"/>
          <w:b/>
          <w:sz w:val="32"/>
          <w:szCs w:val="32"/>
          <w:lang w:val="en-US"/>
        </w:rPr>
        <w:t>县（市、区）</w:t>
      </w:r>
      <w:r>
        <w:rPr>
          <w:rFonts w:hint="eastAsia" w:ascii="Calibri" w:hAnsi="Calibri" w:eastAsia="方正仿宋_GBK"/>
          <w:b/>
          <w:sz w:val="32"/>
          <w:szCs w:val="32"/>
          <w:lang w:val="en-US"/>
        </w:rPr>
        <w:t>，采取线上评价。应提供资金到位、预算执行、项目初步验收、产出指标完成等相关佐证材料的扫描件及项目组要求提供的其他材料。</w:t>
      </w:r>
      <w:r>
        <w:rPr>
          <w:rFonts w:ascii="Calibri" w:hAnsi="Calibri" w:eastAsia="方正仿宋_GBK"/>
          <w:b/>
          <w:sz w:val="32"/>
          <w:szCs w:val="32"/>
          <w:lang w:val="en-US"/>
        </w:rPr>
        <w:t>形成初步绩效</w:t>
      </w:r>
      <w:r>
        <w:rPr>
          <w:rFonts w:hint="eastAsia" w:ascii="Calibri" w:hAnsi="Calibri" w:eastAsia="方正仿宋_GBK"/>
          <w:b/>
          <w:sz w:val="32"/>
          <w:szCs w:val="32"/>
          <w:lang w:val="en-US"/>
        </w:rPr>
        <w:t>评价成果</w:t>
      </w:r>
      <w:r>
        <w:rPr>
          <w:rFonts w:ascii="Calibri" w:hAnsi="Calibri" w:eastAsia="方正仿宋_GBK"/>
          <w:b/>
          <w:sz w:val="32"/>
          <w:szCs w:val="32"/>
          <w:lang w:val="en-US"/>
        </w:rPr>
        <w:t>，并征求被</w:t>
      </w:r>
      <w:r>
        <w:rPr>
          <w:rFonts w:hint="eastAsia" w:ascii="Calibri" w:hAnsi="Calibri" w:eastAsia="方正仿宋_GBK"/>
          <w:b/>
          <w:sz w:val="32"/>
          <w:szCs w:val="32"/>
          <w:lang w:val="en-US"/>
        </w:rPr>
        <w:t>评价</w:t>
      </w:r>
      <w:r>
        <w:rPr>
          <w:rFonts w:ascii="Calibri" w:hAnsi="Calibri" w:eastAsia="方正仿宋_GBK"/>
          <w:b/>
          <w:sz w:val="32"/>
          <w:szCs w:val="32"/>
          <w:lang w:val="en-US"/>
        </w:rPr>
        <w:t>单位</w:t>
      </w:r>
      <w:r>
        <w:rPr>
          <w:rFonts w:hint="eastAsia" w:ascii="Calibri" w:hAnsi="Calibri" w:eastAsia="方正仿宋_GBK"/>
          <w:b/>
          <w:sz w:val="32"/>
          <w:szCs w:val="32"/>
          <w:lang w:val="en-US"/>
        </w:rPr>
        <w:t>意见</w:t>
      </w:r>
      <w:r>
        <w:rPr>
          <w:rFonts w:ascii="Calibri" w:hAnsi="Calibri" w:eastAsia="方正仿宋_GBK"/>
          <w:b/>
          <w:sz w:val="32"/>
          <w:szCs w:val="32"/>
          <w:lang w:val="en-US"/>
        </w:rPr>
        <w:t>。</w:t>
      </w:r>
    </w:p>
    <w:p>
      <w:pPr>
        <w:pStyle w:val="36"/>
        <w:spacing w:line="580" w:lineRule="exact"/>
        <w:ind w:firstLine="633"/>
        <w:rPr>
          <w:rFonts w:ascii="Calibri" w:hAnsi="Calibri" w:eastAsia="方正楷体_GBK"/>
          <w:b/>
          <w:bCs/>
          <w:color w:val="000000"/>
          <w:sz w:val="32"/>
          <w:szCs w:val="32"/>
          <w:lang w:val="en-US" w:bidi="ar"/>
        </w:rPr>
      </w:pPr>
      <w:r>
        <w:rPr>
          <w:rFonts w:ascii="Calibri" w:hAnsi="Calibri" w:eastAsia="方正楷体_GBK"/>
          <w:b/>
          <w:bCs/>
          <w:color w:val="000000"/>
          <w:sz w:val="32"/>
          <w:szCs w:val="32"/>
          <w:lang w:val="en-US" w:bidi="ar"/>
        </w:rPr>
        <w:t>（三）报告编制阶段（</w:t>
      </w:r>
      <w:r>
        <w:rPr>
          <w:rFonts w:hint="eastAsia" w:ascii="Calibri" w:hAnsi="Calibri" w:eastAsia="方正楷体_GBK"/>
          <w:b/>
          <w:bCs/>
          <w:color w:val="000000"/>
          <w:sz w:val="32"/>
          <w:szCs w:val="32"/>
          <w:lang w:val="en-US" w:bidi="ar"/>
        </w:rPr>
        <w:t>9-10</w:t>
      </w:r>
      <w:r>
        <w:rPr>
          <w:rFonts w:ascii="Calibri" w:hAnsi="Calibri" w:eastAsia="方正楷体_GBK"/>
          <w:b/>
          <w:bCs/>
          <w:color w:val="000000"/>
          <w:sz w:val="32"/>
          <w:szCs w:val="32"/>
          <w:lang w:val="en-US" w:bidi="ar"/>
        </w:rPr>
        <w:t>月）</w:t>
      </w:r>
    </w:p>
    <w:p>
      <w:pPr>
        <w:spacing w:line="580" w:lineRule="exact"/>
        <w:ind w:firstLine="632" w:firstLineChars="200"/>
        <w:rPr>
          <w:rFonts w:eastAsia="方正仿宋_GBK"/>
          <w:b/>
          <w:sz w:val="32"/>
          <w:szCs w:val="32"/>
        </w:rPr>
      </w:pPr>
      <w:r>
        <w:rPr>
          <w:rFonts w:eastAsia="方正仿宋_GBK"/>
          <w:b/>
          <w:sz w:val="32"/>
          <w:szCs w:val="32"/>
        </w:rPr>
        <w:t>根据</w:t>
      </w:r>
      <w:r>
        <w:rPr>
          <w:rFonts w:hint="eastAsia" w:eastAsia="方正仿宋_GBK"/>
          <w:b/>
          <w:sz w:val="32"/>
          <w:szCs w:val="32"/>
        </w:rPr>
        <w:t>现场和线上</w:t>
      </w:r>
      <w:r>
        <w:rPr>
          <w:rFonts w:eastAsia="方正仿宋_GBK"/>
          <w:b/>
          <w:sz w:val="32"/>
          <w:szCs w:val="32"/>
        </w:rPr>
        <w:t>绩效</w:t>
      </w:r>
      <w:r>
        <w:rPr>
          <w:rFonts w:hint="eastAsia" w:eastAsia="方正仿宋_GBK"/>
          <w:b/>
          <w:sz w:val="32"/>
          <w:szCs w:val="32"/>
        </w:rPr>
        <w:t>评价成果和反馈意见</w:t>
      </w:r>
      <w:r>
        <w:rPr>
          <w:rFonts w:eastAsia="方正仿宋_GBK"/>
          <w:b/>
          <w:sz w:val="32"/>
          <w:szCs w:val="32"/>
        </w:rPr>
        <w:t>，进行综合分析、客观评判，</w:t>
      </w:r>
      <w:r>
        <w:rPr>
          <w:rFonts w:hint="eastAsia" w:eastAsia="方正仿宋_GBK"/>
          <w:b/>
          <w:sz w:val="32"/>
          <w:szCs w:val="32"/>
        </w:rPr>
        <w:t>第三方机构</w:t>
      </w:r>
      <w:r>
        <w:rPr>
          <w:rFonts w:eastAsia="方正仿宋_GBK"/>
          <w:b/>
          <w:sz w:val="32"/>
          <w:szCs w:val="32"/>
        </w:rPr>
        <w:t>编制完成全省市、县（市、区）中央</w:t>
      </w:r>
      <w:r>
        <w:rPr>
          <w:rFonts w:hint="eastAsia" w:eastAsia="方正仿宋_GBK"/>
          <w:b/>
          <w:sz w:val="32"/>
          <w:szCs w:val="32"/>
        </w:rPr>
        <w:t>、省级</w:t>
      </w:r>
      <w:r>
        <w:rPr>
          <w:rFonts w:eastAsia="方正仿宋_GBK"/>
          <w:b/>
          <w:sz w:val="32"/>
          <w:szCs w:val="32"/>
        </w:rPr>
        <w:t>水利发展资金绩效</w:t>
      </w:r>
      <w:r>
        <w:rPr>
          <w:rFonts w:hint="eastAsia" w:eastAsia="方正仿宋_GBK"/>
          <w:b/>
          <w:sz w:val="32"/>
          <w:szCs w:val="32"/>
        </w:rPr>
        <w:t>评价</w:t>
      </w:r>
      <w:r>
        <w:rPr>
          <w:rFonts w:eastAsia="方正仿宋_GBK"/>
          <w:b/>
          <w:sz w:val="32"/>
          <w:szCs w:val="32"/>
        </w:rPr>
        <w:t>报告</w:t>
      </w:r>
      <w:r>
        <w:rPr>
          <w:rFonts w:hint="eastAsia" w:eastAsia="方正仿宋_GBK"/>
          <w:b/>
          <w:sz w:val="32"/>
          <w:szCs w:val="32"/>
        </w:rPr>
        <w:t>和中央水库移民后扶资金绩效评价报告。</w:t>
      </w:r>
    </w:p>
    <w:p>
      <w:pPr>
        <w:spacing w:line="580" w:lineRule="exact"/>
        <w:ind w:firstLine="632" w:firstLineChars="200"/>
        <w:rPr>
          <w:rFonts w:eastAsia="方正仿宋_GBK"/>
          <w:b/>
          <w:sz w:val="32"/>
          <w:szCs w:val="32"/>
        </w:rPr>
      </w:pPr>
      <w:r>
        <w:rPr>
          <w:rFonts w:hint="eastAsia" w:eastAsia="方正仿宋_GBK"/>
          <w:b/>
          <w:sz w:val="32"/>
          <w:szCs w:val="32"/>
        </w:rPr>
        <w:t>省财政厅农业农村处会同省水利厅财务审计处、相关业务部门对绩效评价成果进行审核、验收，形成最终全省各市、县（市、县）水利发展资金和水库移民后扶资金绩效评价报告。</w:t>
      </w:r>
    </w:p>
    <w:p>
      <w:pPr>
        <w:numPr>
          <w:ilvl w:val="255"/>
          <w:numId w:val="0"/>
        </w:numPr>
        <w:spacing w:line="580" w:lineRule="exact"/>
        <w:ind w:firstLine="632" w:firstLineChars="200"/>
        <w:outlineLvl w:val="0"/>
        <w:rPr>
          <w:rFonts w:eastAsia="方正黑体_GBK"/>
          <w:b/>
          <w:sz w:val="32"/>
          <w:szCs w:val="32"/>
          <w:lang w:bidi="ar"/>
        </w:rPr>
      </w:pPr>
      <w:r>
        <w:rPr>
          <w:rFonts w:hint="eastAsia" w:eastAsia="方正黑体_GBK"/>
          <w:b/>
          <w:sz w:val="32"/>
          <w:szCs w:val="32"/>
          <w:lang w:bidi="ar"/>
        </w:rPr>
        <w:t>四</w:t>
      </w:r>
      <w:r>
        <w:rPr>
          <w:rFonts w:eastAsia="方正黑体_GBK"/>
          <w:b/>
          <w:sz w:val="32"/>
          <w:szCs w:val="32"/>
          <w:lang w:bidi="ar"/>
        </w:rPr>
        <w:t>、</w:t>
      </w:r>
      <w:r>
        <w:rPr>
          <w:rFonts w:hint="eastAsia" w:eastAsia="方正黑体_GBK"/>
          <w:b/>
          <w:sz w:val="32"/>
          <w:szCs w:val="32"/>
          <w:lang w:bidi="ar"/>
        </w:rPr>
        <w:t>相关</w:t>
      </w:r>
      <w:r>
        <w:rPr>
          <w:rFonts w:eastAsia="方正黑体_GBK"/>
          <w:b/>
          <w:sz w:val="32"/>
          <w:szCs w:val="32"/>
          <w:lang w:bidi="ar"/>
        </w:rPr>
        <w:t>要求</w:t>
      </w:r>
    </w:p>
    <w:p>
      <w:pPr>
        <w:numPr>
          <w:ilvl w:val="255"/>
          <w:numId w:val="0"/>
        </w:numPr>
        <w:spacing w:line="580" w:lineRule="exact"/>
        <w:ind w:firstLine="790" w:firstLineChars="250"/>
        <w:jc w:val="left"/>
        <w:outlineLvl w:val="1"/>
        <w:rPr>
          <w:rFonts w:eastAsia="方正仿宋_GBK"/>
          <w:b/>
          <w:sz w:val="32"/>
          <w:szCs w:val="32"/>
        </w:rPr>
      </w:pPr>
      <w:r>
        <w:rPr>
          <w:rFonts w:hint="eastAsia" w:eastAsia="方正仿宋_GBK"/>
          <w:b/>
          <w:sz w:val="32"/>
          <w:szCs w:val="32"/>
        </w:rPr>
        <w:t>1.评价</w:t>
      </w:r>
      <w:r>
        <w:rPr>
          <w:rFonts w:eastAsia="方正仿宋_GBK"/>
          <w:b/>
          <w:sz w:val="32"/>
          <w:szCs w:val="32"/>
        </w:rPr>
        <w:t>组在</w:t>
      </w:r>
      <w:r>
        <w:rPr>
          <w:rFonts w:hint="eastAsia" w:eastAsia="方正仿宋_GBK"/>
          <w:b/>
          <w:sz w:val="32"/>
          <w:szCs w:val="32"/>
        </w:rPr>
        <w:t>工作</w:t>
      </w:r>
      <w:r>
        <w:rPr>
          <w:rFonts w:eastAsia="方正仿宋_GBK"/>
          <w:b/>
          <w:sz w:val="32"/>
          <w:szCs w:val="32"/>
        </w:rPr>
        <w:t>开始前一周向</w:t>
      </w:r>
      <w:r>
        <w:rPr>
          <w:rFonts w:hint="eastAsia" w:eastAsia="方正仿宋_GBK"/>
          <w:b/>
          <w:sz w:val="32"/>
          <w:szCs w:val="32"/>
        </w:rPr>
        <w:t>县（市、区）</w:t>
      </w:r>
      <w:r>
        <w:rPr>
          <w:rFonts w:eastAsia="方正仿宋_GBK"/>
          <w:b/>
          <w:sz w:val="32"/>
          <w:szCs w:val="32"/>
        </w:rPr>
        <w:t>所在</w:t>
      </w:r>
      <w:r>
        <w:rPr>
          <w:rFonts w:eastAsia="方正仿宋_GBK"/>
          <w:b/>
          <w:color w:val="000000" w:themeColor="text1"/>
          <w:sz w:val="32"/>
          <w:szCs w:val="32"/>
        </w:rPr>
        <w:t>的</w:t>
      </w:r>
      <w:r>
        <w:rPr>
          <w:rFonts w:hint="eastAsia" w:eastAsia="方正仿宋_GBK"/>
          <w:b/>
          <w:color w:val="000000" w:themeColor="text1"/>
          <w:sz w:val="32"/>
          <w:szCs w:val="32"/>
        </w:rPr>
        <w:t>设区</w:t>
      </w:r>
      <w:r>
        <w:rPr>
          <w:rFonts w:eastAsia="方正仿宋_GBK"/>
          <w:b/>
          <w:color w:val="000000" w:themeColor="text1"/>
          <w:sz w:val="32"/>
          <w:szCs w:val="32"/>
        </w:rPr>
        <w:t>市</w:t>
      </w:r>
      <w:r>
        <w:rPr>
          <w:rFonts w:hint="eastAsia" w:eastAsia="方正仿宋_GBK"/>
          <w:b/>
          <w:color w:val="000000" w:themeColor="text1"/>
          <w:sz w:val="32"/>
          <w:szCs w:val="32"/>
        </w:rPr>
        <w:t>水利（务）局财务部门通报工作计划安排</w:t>
      </w:r>
      <w:r>
        <w:rPr>
          <w:rFonts w:eastAsia="方正仿宋_GBK"/>
          <w:b/>
          <w:color w:val="000000" w:themeColor="text1"/>
          <w:sz w:val="32"/>
          <w:szCs w:val="32"/>
        </w:rPr>
        <w:t>，</w:t>
      </w:r>
      <w:r>
        <w:rPr>
          <w:rFonts w:eastAsia="方正仿宋_GBK"/>
          <w:b/>
          <w:sz w:val="32"/>
          <w:szCs w:val="32"/>
        </w:rPr>
        <w:t>约定工作时间、地点、人员及相关行程计划</w:t>
      </w:r>
      <w:r>
        <w:rPr>
          <w:rFonts w:hint="eastAsia" w:eastAsia="方正仿宋_GBK"/>
          <w:b/>
          <w:sz w:val="32"/>
          <w:szCs w:val="32"/>
        </w:rPr>
        <w:t>。设区市应及时通知有关县（市、区），</w:t>
      </w:r>
      <w:r>
        <w:rPr>
          <w:rFonts w:eastAsia="方正仿宋_GBK"/>
          <w:b/>
          <w:sz w:val="32"/>
          <w:szCs w:val="32"/>
        </w:rPr>
        <w:t>将相关资料及时准备完毕</w:t>
      </w:r>
      <w:r>
        <w:rPr>
          <w:rFonts w:hint="eastAsia" w:eastAsia="方正仿宋_GBK"/>
          <w:b/>
          <w:sz w:val="32"/>
          <w:szCs w:val="32"/>
        </w:rPr>
        <w:t>，确保评价</w:t>
      </w:r>
      <w:r>
        <w:rPr>
          <w:rFonts w:eastAsia="方正仿宋_GBK"/>
          <w:b/>
          <w:sz w:val="32"/>
          <w:szCs w:val="32"/>
        </w:rPr>
        <w:t>组到达后即时开展工作。</w:t>
      </w:r>
    </w:p>
    <w:p>
      <w:pPr>
        <w:spacing w:line="580" w:lineRule="exact"/>
        <w:rPr>
          <w:rFonts w:eastAsia="方正仿宋_GBK"/>
          <w:b/>
          <w:sz w:val="32"/>
          <w:szCs w:val="32"/>
        </w:rPr>
      </w:pPr>
      <w:r>
        <w:rPr>
          <w:rFonts w:hint="eastAsia" w:eastAsia="方正仿宋_GBK"/>
          <w:b/>
          <w:sz w:val="32"/>
          <w:szCs w:val="32"/>
        </w:rPr>
        <w:t xml:space="preserve">    2.各县（市、区）应按要求及时、完整、准确提供材料，以确保项目组客观公正地进行绩效评价。</w:t>
      </w:r>
      <w:r>
        <w:rPr>
          <w:rFonts w:eastAsia="方正仿宋_GBK"/>
          <w:b/>
          <w:sz w:val="32"/>
          <w:szCs w:val="32"/>
        </w:rPr>
        <w:t>若</w:t>
      </w:r>
      <w:r>
        <w:rPr>
          <w:rFonts w:hint="eastAsia" w:eastAsia="方正仿宋_GBK"/>
          <w:b/>
          <w:sz w:val="32"/>
          <w:szCs w:val="32"/>
        </w:rPr>
        <w:t>相关</w:t>
      </w:r>
      <w:r>
        <w:rPr>
          <w:rFonts w:eastAsia="方正仿宋_GBK"/>
          <w:b/>
          <w:sz w:val="32"/>
          <w:szCs w:val="32"/>
        </w:rPr>
        <w:t>材料直至</w:t>
      </w:r>
      <w:r>
        <w:rPr>
          <w:rFonts w:hint="eastAsia" w:eastAsia="方正仿宋_GBK"/>
          <w:b/>
          <w:sz w:val="32"/>
          <w:szCs w:val="32"/>
        </w:rPr>
        <w:t>评价</w:t>
      </w:r>
      <w:r>
        <w:rPr>
          <w:rFonts w:eastAsia="方正仿宋_GBK"/>
          <w:b/>
          <w:sz w:val="32"/>
          <w:szCs w:val="32"/>
        </w:rPr>
        <w:t>组完成该地区现场工作后仍未提供，</w:t>
      </w:r>
      <w:r>
        <w:rPr>
          <w:rFonts w:hint="eastAsia" w:eastAsia="方正仿宋_GBK"/>
          <w:b/>
          <w:sz w:val="32"/>
          <w:szCs w:val="32"/>
        </w:rPr>
        <w:t>或线上评价的未按时效提供材料，</w:t>
      </w:r>
      <w:r>
        <w:rPr>
          <w:rFonts w:eastAsia="方正仿宋_GBK"/>
          <w:b/>
          <w:sz w:val="32"/>
          <w:szCs w:val="32"/>
        </w:rPr>
        <w:t>即视为该项资料缺项。</w:t>
      </w:r>
    </w:p>
    <w:p>
      <w:pPr>
        <w:spacing w:line="580" w:lineRule="exact"/>
        <w:ind w:firstLine="632" w:firstLineChars="200"/>
        <w:jc w:val="left"/>
        <w:rPr>
          <w:rFonts w:eastAsia="方正仿宋_GBK"/>
          <w:b/>
          <w:sz w:val="32"/>
          <w:szCs w:val="32"/>
        </w:rPr>
      </w:pPr>
      <w:r>
        <w:rPr>
          <w:rFonts w:hint="eastAsia" w:eastAsia="方正仿宋_GBK"/>
          <w:b/>
          <w:sz w:val="32"/>
          <w:szCs w:val="32"/>
        </w:rPr>
        <w:t>3．评价组现场评价所需费用均包括在合同总费用之中。不得参加被评价单位的宴请和工作无关的活动，不得收受项目单位赠送的礼品、礼金、有价证券及其他福利品以及以任何名义给予的加班费、奖金、津贴等，不得在被评价单位报销任何费用等。</w:t>
      </w:r>
    </w:p>
    <w:p>
      <w:pPr>
        <w:spacing w:line="580" w:lineRule="exact"/>
        <w:ind w:firstLine="632" w:firstLineChars="200"/>
        <w:rPr>
          <w:rFonts w:eastAsia="方正仿宋_GBK"/>
          <w:b/>
          <w:sz w:val="32"/>
          <w:szCs w:val="32"/>
          <w:lang w:val="zh-CN"/>
        </w:rPr>
      </w:pPr>
      <w:r>
        <w:rPr>
          <w:rFonts w:eastAsia="方正仿宋_GBK"/>
          <w:b/>
          <w:sz w:val="32"/>
          <w:szCs w:val="32"/>
          <w:lang w:val="zh-CN"/>
        </w:rPr>
        <w:t>附件</w:t>
      </w:r>
    </w:p>
    <w:p>
      <w:pPr>
        <w:spacing w:line="580" w:lineRule="exact"/>
        <w:ind w:firstLine="632" w:firstLineChars="200"/>
        <w:rPr>
          <w:rFonts w:eastAsia="方正仿宋_GBK"/>
          <w:b/>
          <w:sz w:val="32"/>
          <w:szCs w:val="32"/>
        </w:rPr>
      </w:pPr>
      <w:r>
        <w:rPr>
          <w:rFonts w:hint="eastAsia" w:eastAsia="方正仿宋_GBK"/>
          <w:b/>
          <w:sz w:val="32"/>
          <w:szCs w:val="32"/>
        </w:rPr>
        <w:t>1. XX县（市、区）202</w:t>
      </w:r>
      <w:r>
        <w:rPr>
          <w:rFonts w:hint="eastAsia" w:eastAsia="方正仿宋_GBK"/>
          <w:b/>
          <w:sz w:val="32"/>
          <w:szCs w:val="32"/>
          <w:lang w:val="en-US" w:eastAsia="zh-CN"/>
        </w:rPr>
        <w:t>5</w:t>
      </w:r>
      <w:r>
        <w:rPr>
          <w:rFonts w:hint="eastAsia" w:eastAsia="方正仿宋_GBK"/>
          <w:b/>
          <w:sz w:val="32"/>
          <w:szCs w:val="32"/>
        </w:rPr>
        <w:t>年度水利发展资金绩效评价打分表（电子版另发）</w:t>
      </w:r>
    </w:p>
    <w:p>
      <w:pPr>
        <w:spacing w:line="580" w:lineRule="exact"/>
        <w:ind w:firstLine="632" w:firstLineChars="200"/>
        <w:rPr>
          <w:rFonts w:eastAsia="方正仿宋_GBK"/>
          <w:b/>
          <w:sz w:val="32"/>
          <w:szCs w:val="32"/>
        </w:rPr>
      </w:pPr>
      <w:r>
        <w:rPr>
          <w:rFonts w:hint="eastAsia" w:eastAsia="方正仿宋_GBK"/>
          <w:b/>
          <w:sz w:val="32"/>
          <w:szCs w:val="32"/>
        </w:rPr>
        <w:t>2. XX县（市、区）202</w:t>
      </w:r>
      <w:r>
        <w:rPr>
          <w:rFonts w:hint="eastAsia" w:eastAsia="方正仿宋_GBK"/>
          <w:b/>
          <w:sz w:val="32"/>
          <w:szCs w:val="32"/>
          <w:lang w:val="en-US" w:eastAsia="zh-CN"/>
        </w:rPr>
        <w:t>5</w:t>
      </w:r>
      <w:r>
        <w:rPr>
          <w:rFonts w:hint="eastAsia" w:eastAsia="方正仿宋_GBK"/>
          <w:b/>
          <w:sz w:val="32"/>
          <w:szCs w:val="32"/>
        </w:rPr>
        <w:t>年度水库移民后扶资金绩效评价打分表（电子版另发）</w:t>
      </w:r>
    </w:p>
    <w:p>
      <w:pPr>
        <w:spacing w:line="580" w:lineRule="exact"/>
        <w:ind w:firstLine="632" w:firstLineChars="200"/>
        <w:rPr>
          <w:rFonts w:eastAsia="方正仿宋_GBK"/>
          <w:b/>
          <w:sz w:val="32"/>
          <w:szCs w:val="32"/>
        </w:rPr>
      </w:pPr>
      <w:r>
        <w:rPr>
          <w:rFonts w:hint="eastAsia" w:eastAsia="方正仿宋_GBK"/>
          <w:b/>
          <w:sz w:val="32"/>
          <w:szCs w:val="32"/>
        </w:rPr>
        <w:t>3.水利发展等专项资金现场绩效评价32个县（市、区）名单</w:t>
      </w:r>
    </w:p>
    <w:p>
      <w:pPr>
        <w:spacing w:line="580" w:lineRule="exact"/>
        <w:rPr>
          <w:b/>
        </w:rPr>
      </w:pPr>
    </w:p>
    <w:sectPr>
      <w:headerReference r:id="rId3" w:type="default"/>
      <w:footerReference r:id="rId5" w:type="default"/>
      <w:headerReference r:id="rId4" w:type="even"/>
      <w:footerReference r:id="rId6" w:type="even"/>
      <w:pgSz w:w="11907" w:h="16839"/>
      <w:pgMar w:top="2098" w:right="1701" w:bottom="1701" w:left="1531" w:header="720" w:footer="1021" w:gutter="0"/>
      <w:paperSrc w:first="7" w:other="7"/>
      <w:pgNumType w:start="1"/>
      <w:cols w:space="720" w:num="1"/>
      <w:docGrid w:type="linesAndChars" w:linePitch="590"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仿宋GBK"/>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仿宋_GBK">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Cambria">
    <w:altName w:val="FreeSerif"/>
    <w:panose1 w:val="02040503050406030204"/>
    <w:charset w:val="00"/>
    <w:family w:val="roman"/>
    <w:pitch w:val="default"/>
    <w:sig w:usb0="00000000" w:usb1="00000000"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PMingLiU">
    <w:altName w:val="Droid Sans Fallback"/>
    <w:panose1 w:val="02020500000000000000"/>
    <w:charset w:val="88"/>
    <w:family w:val="roman"/>
    <w:pitch w:val="default"/>
    <w:sig w:usb0="00000000" w:usb1="00000000"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210" w:leftChars="100" w:right="210" w:rightChars="100"/>
      <w:jc w:val="right"/>
    </w:pPr>
    <w:r>
      <w:rPr>
        <w:rFonts w:hint="eastAsia"/>
      </w:rPr>
      <w:t xml:space="preserve">— </w:t>
    </w:r>
    <w:r>
      <w:rPr>
        <w:rStyle w:val="16"/>
      </w:rPr>
      <w:fldChar w:fldCharType="begin"/>
    </w:r>
    <w:r>
      <w:rPr>
        <w:rStyle w:val="16"/>
      </w:rPr>
      <w:instrText xml:space="preserve"> PAGE </w:instrText>
    </w:r>
    <w:r>
      <w:rPr>
        <w:rStyle w:val="16"/>
      </w:rPr>
      <w:fldChar w:fldCharType="separate"/>
    </w:r>
    <w:r>
      <w:rPr>
        <w:rStyle w:val="16"/>
      </w:rPr>
      <w:t>1</w:t>
    </w:r>
    <w:r>
      <w:rPr>
        <w:rStyle w:val="16"/>
      </w:rPr>
      <w:fldChar w:fldCharType="end"/>
    </w:r>
    <w:r>
      <w:rPr>
        <w:rStyle w:val="16"/>
        <w:rFonts w:hint="eastAsia"/>
      </w:rPr>
      <w:t xml:space="preserve"> </w:t>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210" w:leftChars="100" w:right="210" w:rightChars="100"/>
      <w:jc w:val="both"/>
    </w:pPr>
    <w:r>
      <w:rPr>
        <w:rFonts w:hint="eastAsia"/>
      </w:rPr>
      <w:t>—</w:t>
    </w:r>
    <w:r>
      <w:t xml:space="preserve"> </w:t>
    </w:r>
    <w:r>
      <w:rPr>
        <w:rStyle w:val="16"/>
      </w:rPr>
      <w:fldChar w:fldCharType="begin"/>
    </w:r>
    <w:r>
      <w:rPr>
        <w:rStyle w:val="16"/>
      </w:rPr>
      <w:instrText xml:space="preserve"> PAGE </w:instrText>
    </w:r>
    <w:r>
      <w:rPr>
        <w:rStyle w:val="16"/>
      </w:rPr>
      <w:fldChar w:fldCharType="separate"/>
    </w:r>
    <w:r>
      <w:rPr>
        <w:rStyle w:val="16"/>
      </w:rPr>
      <w:t>4</w:t>
    </w:r>
    <w:r>
      <w:rPr>
        <w:rStyle w:val="16"/>
      </w:rPr>
      <w:fldChar w:fldCharType="end"/>
    </w:r>
    <w:r>
      <w:rPr>
        <w:rStyle w:val="16"/>
      </w:rPr>
      <w:t xml:space="preserve"> </w:t>
    </w:r>
    <w:r>
      <w:rPr>
        <w:rFonts w:hint="eastAsia"/>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DB77CC"/>
    <w:multiLevelType w:val="singleLevel"/>
    <w:tmpl w:val="62DB77C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evenAndOddHeaders w:val="true"/>
  <w:drawingGridHorizontalSpacing w:val="205"/>
  <w:drawingGridVerticalSpacing w:val="295"/>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wMWRkODk4YzA4YTQ1ODE3ZWU5ZTRmYTA1ZDJjZWMifQ=="/>
  </w:docVars>
  <w:rsids>
    <w:rsidRoot w:val="00A46E6E"/>
    <w:rsid w:val="00001554"/>
    <w:rsid w:val="00002C92"/>
    <w:rsid w:val="00003652"/>
    <w:rsid w:val="00011CB8"/>
    <w:rsid w:val="0001311A"/>
    <w:rsid w:val="00014900"/>
    <w:rsid w:val="000149D3"/>
    <w:rsid w:val="00023B6B"/>
    <w:rsid w:val="000250BF"/>
    <w:rsid w:val="00033AEE"/>
    <w:rsid w:val="000379EC"/>
    <w:rsid w:val="0004324F"/>
    <w:rsid w:val="00044191"/>
    <w:rsid w:val="0005198C"/>
    <w:rsid w:val="00053726"/>
    <w:rsid w:val="00060332"/>
    <w:rsid w:val="000639E4"/>
    <w:rsid w:val="00067F65"/>
    <w:rsid w:val="00071A2F"/>
    <w:rsid w:val="000751D4"/>
    <w:rsid w:val="0008714D"/>
    <w:rsid w:val="00093B0F"/>
    <w:rsid w:val="000A4F4D"/>
    <w:rsid w:val="000C021F"/>
    <w:rsid w:val="000C42DF"/>
    <w:rsid w:val="000D0473"/>
    <w:rsid w:val="000D10F0"/>
    <w:rsid w:val="000D455E"/>
    <w:rsid w:val="000D7DDE"/>
    <w:rsid w:val="000E0BAB"/>
    <w:rsid w:val="000E2ECA"/>
    <w:rsid w:val="000E4B05"/>
    <w:rsid w:val="000E7125"/>
    <w:rsid w:val="000E73E7"/>
    <w:rsid w:val="000F19DF"/>
    <w:rsid w:val="00113CEB"/>
    <w:rsid w:val="001226F1"/>
    <w:rsid w:val="00130666"/>
    <w:rsid w:val="00135B7D"/>
    <w:rsid w:val="0014063A"/>
    <w:rsid w:val="001407B1"/>
    <w:rsid w:val="00142829"/>
    <w:rsid w:val="00147975"/>
    <w:rsid w:val="001642D8"/>
    <w:rsid w:val="001701EA"/>
    <w:rsid w:val="00172E64"/>
    <w:rsid w:val="00173D49"/>
    <w:rsid w:val="00181E8F"/>
    <w:rsid w:val="00182B5A"/>
    <w:rsid w:val="001833FC"/>
    <w:rsid w:val="00191284"/>
    <w:rsid w:val="001B4084"/>
    <w:rsid w:val="001B732A"/>
    <w:rsid w:val="001D126B"/>
    <w:rsid w:val="001D17FE"/>
    <w:rsid w:val="001D198F"/>
    <w:rsid w:val="001D1B3D"/>
    <w:rsid w:val="001D4DA2"/>
    <w:rsid w:val="001E0A6C"/>
    <w:rsid w:val="001E3685"/>
    <w:rsid w:val="001F0845"/>
    <w:rsid w:val="001F2638"/>
    <w:rsid w:val="001F2A86"/>
    <w:rsid w:val="001F2E68"/>
    <w:rsid w:val="001F33A9"/>
    <w:rsid w:val="001F59B2"/>
    <w:rsid w:val="001F5A4B"/>
    <w:rsid w:val="001F5DE6"/>
    <w:rsid w:val="0020276D"/>
    <w:rsid w:val="0020537E"/>
    <w:rsid w:val="0020789E"/>
    <w:rsid w:val="00214C8E"/>
    <w:rsid w:val="00222774"/>
    <w:rsid w:val="00224584"/>
    <w:rsid w:val="002306E4"/>
    <w:rsid w:val="00237A3B"/>
    <w:rsid w:val="0024219C"/>
    <w:rsid w:val="00242340"/>
    <w:rsid w:val="0024756F"/>
    <w:rsid w:val="00247BA4"/>
    <w:rsid w:val="0025453F"/>
    <w:rsid w:val="002622E3"/>
    <w:rsid w:val="00270300"/>
    <w:rsid w:val="002804FB"/>
    <w:rsid w:val="00282B34"/>
    <w:rsid w:val="002848ED"/>
    <w:rsid w:val="002869A7"/>
    <w:rsid w:val="00287119"/>
    <w:rsid w:val="0029601E"/>
    <w:rsid w:val="00297D0F"/>
    <w:rsid w:val="002A4382"/>
    <w:rsid w:val="002A71DA"/>
    <w:rsid w:val="002B251B"/>
    <w:rsid w:val="002C5AF5"/>
    <w:rsid w:val="002D07D0"/>
    <w:rsid w:val="002D16E2"/>
    <w:rsid w:val="002D4875"/>
    <w:rsid w:val="002D7787"/>
    <w:rsid w:val="002E4A60"/>
    <w:rsid w:val="002F0CB4"/>
    <w:rsid w:val="002F3A17"/>
    <w:rsid w:val="0030106E"/>
    <w:rsid w:val="0030695B"/>
    <w:rsid w:val="00310D8C"/>
    <w:rsid w:val="00311A52"/>
    <w:rsid w:val="00311FEF"/>
    <w:rsid w:val="00315605"/>
    <w:rsid w:val="0031573E"/>
    <w:rsid w:val="00316952"/>
    <w:rsid w:val="00320168"/>
    <w:rsid w:val="0032447C"/>
    <w:rsid w:val="00326323"/>
    <w:rsid w:val="00346E50"/>
    <w:rsid w:val="00353057"/>
    <w:rsid w:val="00355762"/>
    <w:rsid w:val="0035729B"/>
    <w:rsid w:val="00360776"/>
    <w:rsid w:val="003626BD"/>
    <w:rsid w:val="00374ACA"/>
    <w:rsid w:val="0037664F"/>
    <w:rsid w:val="0038248E"/>
    <w:rsid w:val="00383FE2"/>
    <w:rsid w:val="00385CFA"/>
    <w:rsid w:val="00392D14"/>
    <w:rsid w:val="00393A83"/>
    <w:rsid w:val="00394CB4"/>
    <w:rsid w:val="003961B8"/>
    <w:rsid w:val="00396E17"/>
    <w:rsid w:val="003A00F3"/>
    <w:rsid w:val="003A04DC"/>
    <w:rsid w:val="003A11BC"/>
    <w:rsid w:val="003A2F2C"/>
    <w:rsid w:val="003A691F"/>
    <w:rsid w:val="003B123C"/>
    <w:rsid w:val="003C3159"/>
    <w:rsid w:val="003C438B"/>
    <w:rsid w:val="003C6FCC"/>
    <w:rsid w:val="003D6611"/>
    <w:rsid w:val="003E1ADC"/>
    <w:rsid w:val="003E69C2"/>
    <w:rsid w:val="003E754B"/>
    <w:rsid w:val="00403CAA"/>
    <w:rsid w:val="00404CE2"/>
    <w:rsid w:val="00405B85"/>
    <w:rsid w:val="00407666"/>
    <w:rsid w:val="00407CA7"/>
    <w:rsid w:val="0042311E"/>
    <w:rsid w:val="00424DD8"/>
    <w:rsid w:val="00435FC5"/>
    <w:rsid w:val="004360AB"/>
    <w:rsid w:val="00442D8A"/>
    <w:rsid w:val="00446412"/>
    <w:rsid w:val="00450722"/>
    <w:rsid w:val="00450C23"/>
    <w:rsid w:val="00451FB5"/>
    <w:rsid w:val="00452FFC"/>
    <w:rsid w:val="004642CB"/>
    <w:rsid w:val="00465F02"/>
    <w:rsid w:val="004662EA"/>
    <w:rsid w:val="0047550A"/>
    <w:rsid w:val="004874CC"/>
    <w:rsid w:val="00491E49"/>
    <w:rsid w:val="00494751"/>
    <w:rsid w:val="00494D76"/>
    <w:rsid w:val="004A2FFD"/>
    <w:rsid w:val="004A7662"/>
    <w:rsid w:val="004B01B9"/>
    <w:rsid w:val="004B3327"/>
    <w:rsid w:val="004B39F1"/>
    <w:rsid w:val="004B4204"/>
    <w:rsid w:val="004B4790"/>
    <w:rsid w:val="004C1410"/>
    <w:rsid w:val="004C1605"/>
    <w:rsid w:val="004C4D69"/>
    <w:rsid w:val="004C78D2"/>
    <w:rsid w:val="004D5222"/>
    <w:rsid w:val="004D6245"/>
    <w:rsid w:val="004D7792"/>
    <w:rsid w:val="004D79BD"/>
    <w:rsid w:val="004E3EBF"/>
    <w:rsid w:val="004E445D"/>
    <w:rsid w:val="004E642C"/>
    <w:rsid w:val="004E7972"/>
    <w:rsid w:val="004F6CF3"/>
    <w:rsid w:val="004F7A59"/>
    <w:rsid w:val="005000DF"/>
    <w:rsid w:val="00501CD9"/>
    <w:rsid w:val="00502980"/>
    <w:rsid w:val="00506D44"/>
    <w:rsid w:val="005108E7"/>
    <w:rsid w:val="00511480"/>
    <w:rsid w:val="005140D4"/>
    <w:rsid w:val="00514361"/>
    <w:rsid w:val="00517C1D"/>
    <w:rsid w:val="00520589"/>
    <w:rsid w:val="00522ACC"/>
    <w:rsid w:val="005246C6"/>
    <w:rsid w:val="005352AB"/>
    <w:rsid w:val="00546EEF"/>
    <w:rsid w:val="00547C4F"/>
    <w:rsid w:val="005524DD"/>
    <w:rsid w:val="00553476"/>
    <w:rsid w:val="00553FEF"/>
    <w:rsid w:val="00556F3F"/>
    <w:rsid w:val="00563F2F"/>
    <w:rsid w:val="00564F30"/>
    <w:rsid w:val="00566448"/>
    <w:rsid w:val="00567235"/>
    <w:rsid w:val="00567A0F"/>
    <w:rsid w:val="00572079"/>
    <w:rsid w:val="005739C2"/>
    <w:rsid w:val="00577B5E"/>
    <w:rsid w:val="005919A4"/>
    <w:rsid w:val="00595D94"/>
    <w:rsid w:val="005A346D"/>
    <w:rsid w:val="005A56DB"/>
    <w:rsid w:val="005C15DC"/>
    <w:rsid w:val="005C215B"/>
    <w:rsid w:val="005C6C9F"/>
    <w:rsid w:val="005D0D22"/>
    <w:rsid w:val="005D3EA0"/>
    <w:rsid w:val="005D42E9"/>
    <w:rsid w:val="005D7B9B"/>
    <w:rsid w:val="005E753A"/>
    <w:rsid w:val="005F1D15"/>
    <w:rsid w:val="005F2B40"/>
    <w:rsid w:val="005F3051"/>
    <w:rsid w:val="00604500"/>
    <w:rsid w:val="006070D4"/>
    <w:rsid w:val="006116A9"/>
    <w:rsid w:val="00616B29"/>
    <w:rsid w:val="0061782D"/>
    <w:rsid w:val="00621575"/>
    <w:rsid w:val="00623B02"/>
    <w:rsid w:val="006348FC"/>
    <w:rsid w:val="00634B85"/>
    <w:rsid w:val="00636A84"/>
    <w:rsid w:val="00652FD1"/>
    <w:rsid w:val="0065342E"/>
    <w:rsid w:val="00653BD5"/>
    <w:rsid w:val="00655985"/>
    <w:rsid w:val="00655ABC"/>
    <w:rsid w:val="00656F58"/>
    <w:rsid w:val="00657058"/>
    <w:rsid w:val="006609A8"/>
    <w:rsid w:val="00662330"/>
    <w:rsid w:val="00662F2F"/>
    <w:rsid w:val="0067557A"/>
    <w:rsid w:val="00682660"/>
    <w:rsid w:val="00683239"/>
    <w:rsid w:val="00683635"/>
    <w:rsid w:val="00686B10"/>
    <w:rsid w:val="00692650"/>
    <w:rsid w:val="00694D69"/>
    <w:rsid w:val="006B13CD"/>
    <w:rsid w:val="006B281A"/>
    <w:rsid w:val="006B7EDD"/>
    <w:rsid w:val="006C061D"/>
    <w:rsid w:val="006C0F85"/>
    <w:rsid w:val="006C3D4B"/>
    <w:rsid w:val="006D0E42"/>
    <w:rsid w:val="006D4931"/>
    <w:rsid w:val="006D644F"/>
    <w:rsid w:val="006E2453"/>
    <w:rsid w:val="006E3513"/>
    <w:rsid w:val="006F41FA"/>
    <w:rsid w:val="006F7A1E"/>
    <w:rsid w:val="00702D4F"/>
    <w:rsid w:val="007041C7"/>
    <w:rsid w:val="00705AC9"/>
    <w:rsid w:val="0070714F"/>
    <w:rsid w:val="007114AF"/>
    <w:rsid w:val="00714061"/>
    <w:rsid w:val="007143AE"/>
    <w:rsid w:val="00715946"/>
    <w:rsid w:val="007179D2"/>
    <w:rsid w:val="00717ECD"/>
    <w:rsid w:val="00720C37"/>
    <w:rsid w:val="00720F55"/>
    <w:rsid w:val="007212E5"/>
    <w:rsid w:val="007309AC"/>
    <w:rsid w:val="00734B6C"/>
    <w:rsid w:val="00742137"/>
    <w:rsid w:val="00742276"/>
    <w:rsid w:val="00746436"/>
    <w:rsid w:val="00760BA3"/>
    <w:rsid w:val="007630BF"/>
    <w:rsid w:val="0076604A"/>
    <w:rsid w:val="00767C15"/>
    <w:rsid w:val="00771A6C"/>
    <w:rsid w:val="00771CE4"/>
    <w:rsid w:val="007720A6"/>
    <w:rsid w:val="007978E5"/>
    <w:rsid w:val="007A0680"/>
    <w:rsid w:val="007A11E0"/>
    <w:rsid w:val="007A1D36"/>
    <w:rsid w:val="007A292C"/>
    <w:rsid w:val="007B1464"/>
    <w:rsid w:val="007B14E5"/>
    <w:rsid w:val="007B1932"/>
    <w:rsid w:val="007C0506"/>
    <w:rsid w:val="007E0C3B"/>
    <w:rsid w:val="007E3AC2"/>
    <w:rsid w:val="008013CE"/>
    <w:rsid w:val="00803C25"/>
    <w:rsid w:val="00806D0E"/>
    <w:rsid w:val="0081794A"/>
    <w:rsid w:val="00820190"/>
    <w:rsid w:val="0082396D"/>
    <w:rsid w:val="00837C36"/>
    <w:rsid w:val="008463AD"/>
    <w:rsid w:val="00850A06"/>
    <w:rsid w:val="00854003"/>
    <w:rsid w:val="0085798F"/>
    <w:rsid w:val="00862D5F"/>
    <w:rsid w:val="00876DCB"/>
    <w:rsid w:val="00877AFE"/>
    <w:rsid w:val="0088065F"/>
    <w:rsid w:val="00885194"/>
    <w:rsid w:val="00885286"/>
    <w:rsid w:val="008A0A8A"/>
    <w:rsid w:val="008A50AD"/>
    <w:rsid w:val="008B21EF"/>
    <w:rsid w:val="008B22C1"/>
    <w:rsid w:val="008B7EC1"/>
    <w:rsid w:val="008C0DC2"/>
    <w:rsid w:val="008C3818"/>
    <w:rsid w:val="008D14DF"/>
    <w:rsid w:val="008D5D5A"/>
    <w:rsid w:val="008E3270"/>
    <w:rsid w:val="008E7B82"/>
    <w:rsid w:val="00910E89"/>
    <w:rsid w:val="009128CF"/>
    <w:rsid w:val="00913517"/>
    <w:rsid w:val="0093323C"/>
    <w:rsid w:val="0094049E"/>
    <w:rsid w:val="009410FA"/>
    <w:rsid w:val="00945651"/>
    <w:rsid w:val="0095026C"/>
    <w:rsid w:val="00954774"/>
    <w:rsid w:val="00955D14"/>
    <w:rsid w:val="009856DB"/>
    <w:rsid w:val="00990C1F"/>
    <w:rsid w:val="009A2ED3"/>
    <w:rsid w:val="009A38F7"/>
    <w:rsid w:val="009C0D7C"/>
    <w:rsid w:val="009C295E"/>
    <w:rsid w:val="009C66A3"/>
    <w:rsid w:val="009D0B28"/>
    <w:rsid w:val="009D2023"/>
    <w:rsid w:val="009D2F61"/>
    <w:rsid w:val="009D38B0"/>
    <w:rsid w:val="009D4BA9"/>
    <w:rsid w:val="009E272E"/>
    <w:rsid w:val="009E546A"/>
    <w:rsid w:val="009E6591"/>
    <w:rsid w:val="009F2110"/>
    <w:rsid w:val="009F3568"/>
    <w:rsid w:val="009F4585"/>
    <w:rsid w:val="009F71C5"/>
    <w:rsid w:val="00A056D1"/>
    <w:rsid w:val="00A06D6F"/>
    <w:rsid w:val="00A1751C"/>
    <w:rsid w:val="00A21D39"/>
    <w:rsid w:val="00A25D81"/>
    <w:rsid w:val="00A34109"/>
    <w:rsid w:val="00A34DC4"/>
    <w:rsid w:val="00A44F3E"/>
    <w:rsid w:val="00A46081"/>
    <w:rsid w:val="00A46E6E"/>
    <w:rsid w:val="00A51A7C"/>
    <w:rsid w:val="00A5336A"/>
    <w:rsid w:val="00A61045"/>
    <w:rsid w:val="00A6331A"/>
    <w:rsid w:val="00A776E1"/>
    <w:rsid w:val="00A77C26"/>
    <w:rsid w:val="00A83CEB"/>
    <w:rsid w:val="00A85C52"/>
    <w:rsid w:val="00A9182C"/>
    <w:rsid w:val="00A926DF"/>
    <w:rsid w:val="00A941F2"/>
    <w:rsid w:val="00A96186"/>
    <w:rsid w:val="00AA105C"/>
    <w:rsid w:val="00AA566E"/>
    <w:rsid w:val="00AA61A0"/>
    <w:rsid w:val="00AA6B5C"/>
    <w:rsid w:val="00AA6DD1"/>
    <w:rsid w:val="00AA6F43"/>
    <w:rsid w:val="00AB15EB"/>
    <w:rsid w:val="00AB2A9D"/>
    <w:rsid w:val="00AB52B4"/>
    <w:rsid w:val="00AB5529"/>
    <w:rsid w:val="00AB6242"/>
    <w:rsid w:val="00AB63FC"/>
    <w:rsid w:val="00AC4201"/>
    <w:rsid w:val="00AC64B2"/>
    <w:rsid w:val="00AD6D4E"/>
    <w:rsid w:val="00AF33A1"/>
    <w:rsid w:val="00AF448A"/>
    <w:rsid w:val="00B02831"/>
    <w:rsid w:val="00B02BF3"/>
    <w:rsid w:val="00B0355C"/>
    <w:rsid w:val="00B03EAD"/>
    <w:rsid w:val="00B12EB9"/>
    <w:rsid w:val="00B15989"/>
    <w:rsid w:val="00B164E4"/>
    <w:rsid w:val="00B17364"/>
    <w:rsid w:val="00B208BD"/>
    <w:rsid w:val="00B23AF8"/>
    <w:rsid w:val="00B26409"/>
    <w:rsid w:val="00B27F18"/>
    <w:rsid w:val="00B3196F"/>
    <w:rsid w:val="00B3389A"/>
    <w:rsid w:val="00B34CB8"/>
    <w:rsid w:val="00B45DE2"/>
    <w:rsid w:val="00B473F6"/>
    <w:rsid w:val="00B47691"/>
    <w:rsid w:val="00B507A6"/>
    <w:rsid w:val="00B56AA0"/>
    <w:rsid w:val="00B62A1B"/>
    <w:rsid w:val="00B62BBD"/>
    <w:rsid w:val="00B733EC"/>
    <w:rsid w:val="00B82F32"/>
    <w:rsid w:val="00B87AC2"/>
    <w:rsid w:val="00B972F7"/>
    <w:rsid w:val="00BA05F9"/>
    <w:rsid w:val="00BA3EB5"/>
    <w:rsid w:val="00BA5B6E"/>
    <w:rsid w:val="00BB0046"/>
    <w:rsid w:val="00BC5542"/>
    <w:rsid w:val="00BD6895"/>
    <w:rsid w:val="00C13829"/>
    <w:rsid w:val="00C164B0"/>
    <w:rsid w:val="00C16A8C"/>
    <w:rsid w:val="00C2122E"/>
    <w:rsid w:val="00C21FBB"/>
    <w:rsid w:val="00C4191C"/>
    <w:rsid w:val="00C50597"/>
    <w:rsid w:val="00C5791D"/>
    <w:rsid w:val="00C62ADC"/>
    <w:rsid w:val="00C65376"/>
    <w:rsid w:val="00C669C5"/>
    <w:rsid w:val="00C674F0"/>
    <w:rsid w:val="00C74B07"/>
    <w:rsid w:val="00C80260"/>
    <w:rsid w:val="00C81003"/>
    <w:rsid w:val="00C85401"/>
    <w:rsid w:val="00C94EFD"/>
    <w:rsid w:val="00C96FAF"/>
    <w:rsid w:val="00CA6076"/>
    <w:rsid w:val="00CD4DED"/>
    <w:rsid w:val="00CE0DA8"/>
    <w:rsid w:val="00CE4A94"/>
    <w:rsid w:val="00CE4F49"/>
    <w:rsid w:val="00CE55E1"/>
    <w:rsid w:val="00D02DDD"/>
    <w:rsid w:val="00D11279"/>
    <w:rsid w:val="00D13A87"/>
    <w:rsid w:val="00D13CA8"/>
    <w:rsid w:val="00D17395"/>
    <w:rsid w:val="00D2305B"/>
    <w:rsid w:val="00D268C6"/>
    <w:rsid w:val="00D352AF"/>
    <w:rsid w:val="00D43FA2"/>
    <w:rsid w:val="00D4518C"/>
    <w:rsid w:val="00D467D9"/>
    <w:rsid w:val="00D47E8C"/>
    <w:rsid w:val="00D5243A"/>
    <w:rsid w:val="00D558B3"/>
    <w:rsid w:val="00D64130"/>
    <w:rsid w:val="00D670BF"/>
    <w:rsid w:val="00D67CDE"/>
    <w:rsid w:val="00D80B3F"/>
    <w:rsid w:val="00D86561"/>
    <w:rsid w:val="00D86AC7"/>
    <w:rsid w:val="00DA05F0"/>
    <w:rsid w:val="00DA158C"/>
    <w:rsid w:val="00DA1EE2"/>
    <w:rsid w:val="00DA2C1E"/>
    <w:rsid w:val="00DA3A33"/>
    <w:rsid w:val="00DB2DB7"/>
    <w:rsid w:val="00DB458C"/>
    <w:rsid w:val="00DC089C"/>
    <w:rsid w:val="00DC530D"/>
    <w:rsid w:val="00DD52AB"/>
    <w:rsid w:val="00DD770C"/>
    <w:rsid w:val="00DE0EDA"/>
    <w:rsid w:val="00DE0EFF"/>
    <w:rsid w:val="00DE2655"/>
    <w:rsid w:val="00DE53CF"/>
    <w:rsid w:val="00DE597F"/>
    <w:rsid w:val="00DF1B3E"/>
    <w:rsid w:val="00DF605B"/>
    <w:rsid w:val="00E026E7"/>
    <w:rsid w:val="00E029D0"/>
    <w:rsid w:val="00E03015"/>
    <w:rsid w:val="00E053A1"/>
    <w:rsid w:val="00E06167"/>
    <w:rsid w:val="00E15C2D"/>
    <w:rsid w:val="00E20A29"/>
    <w:rsid w:val="00E219AB"/>
    <w:rsid w:val="00E22AC4"/>
    <w:rsid w:val="00E22B3C"/>
    <w:rsid w:val="00E35545"/>
    <w:rsid w:val="00E40E10"/>
    <w:rsid w:val="00E6026D"/>
    <w:rsid w:val="00E66B94"/>
    <w:rsid w:val="00E7316E"/>
    <w:rsid w:val="00E750C4"/>
    <w:rsid w:val="00E75FD2"/>
    <w:rsid w:val="00E87EDA"/>
    <w:rsid w:val="00E94A68"/>
    <w:rsid w:val="00E94A91"/>
    <w:rsid w:val="00E96EA0"/>
    <w:rsid w:val="00E97E51"/>
    <w:rsid w:val="00EA0CD0"/>
    <w:rsid w:val="00EB060F"/>
    <w:rsid w:val="00EB6525"/>
    <w:rsid w:val="00EC2249"/>
    <w:rsid w:val="00EC347F"/>
    <w:rsid w:val="00EC4C96"/>
    <w:rsid w:val="00ED52AD"/>
    <w:rsid w:val="00EE690D"/>
    <w:rsid w:val="00EE7BA9"/>
    <w:rsid w:val="00EF7089"/>
    <w:rsid w:val="00F001F8"/>
    <w:rsid w:val="00F028C2"/>
    <w:rsid w:val="00F04FD4"/>
    <w:rsid w:val="00F11811"/>
    <w:rsid w:val="00F11DB8"/>
    <w:rsid w:val="00F12AFF"/>
    <w:rsid w:val="00F17A72"/>
    <w:rsid w:val="00F341C2"/>
    <w:rsid w:val="00F37B1F"/>
    <w:rsid w:val="00F42E1B"/>
    <w:rsid w:val="00F502C2"/>
    <w:rsid w:val="00F54B71"/>
    <w:rsid w:val="00F561C1"/>
    <w:rsid w:val="00F57498"/>
    <w:rsid w:val="00F6076B"/>
    <w:rsid w:val="00F641F3"/>
    <w:rsid w:val="00F65F05"/>
    <w:rsid w:val="00F71ADE"/>
    <w:rsid w:val="00F81BED"/>
    <w:rsid w:val="00F851CB"/>
    <w:rsid w:val="00F852C0"/>
    <w:rsid w:val="00F852DC"/>
    <w:rsid w:val="00F87A2C"/>
    <w:rsid w:val="00F95F2D"/>
    <w:rsid w:val="00FA52D3"/>
    <w:rsid w:val="00FA7E3A"/>
    <w:rsid w:val="00FB19F8"/>
    <w:rsid w:val="00FB2109"/>
    <w:rsid w:val="00FB32C2"/>
    <w:rsid w:val="00FB64AC"/>
    <w:rsid w:val="00FC2B3C"/>
    <w:rsid w:val="00FC2F88"/>
    <w:rsid w:val="00FC4EC1"/>
    <w:rsid w:val="00FD1B0F"/>
    <w:rsid w:val="00FD3F9E"/>
    <w:rsid w:val="00FE4CCF"/>
    <w:rsid w:val="18B20E08"/>
    <w:rsid w:val="3C371DB0"/>
    <w:rsid w:val="461D7182"/>
    <w:rsid w:val="5FEEE4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autoSpaceDE w:val="0"/>
      <w:autoSpaceDN w:val="0"/>
      <w:snapToGrid w:val="0"/>
      <w:spacing w:before="340" w:after="330" w:line="578" w:lineRule="atLeast"/>
      <w:ind w:firstLine="624"/>
      <w:outlineLvl w:val="0"/>
    </w:pPr>
    <w:rPr>
      <w:rFonts w:ascii="Times New Roman" w:hAnsi="Times New Roman" w:eastAsia="方正仿宋_GBK"/>
      <w:b/>
      <w:snapToGrid w:val="0"/>
      <w:kern w:val="44"/>
      <w:sz w:val="44"/>
      <w:szCs w:val="20"/>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spacing w:line="590" w:lineRule="atLeast"/>
      <w:jc w:val="left"/>
    </w:pPr>
    <w:rPr>
      <w:rFonts w:ascii="Times New Roman" w:hAnsi="Times New Roman" w:eastAsia="方正仿宋_GBK"/>
      <w:snapToGrid w:val="0"/>
      <w:spacing w:val="-25"/>
      <w:kern w:val="0"/>
      <w:sz w:val="32"/>
      <w:szCs w:val="20"/>
    </w:rPr>
  </w:style>
  <w:style w:type="paragraph" w:styleId="4">
    <w:name w:val="Body Text"/>
    <w:basedOn w:val="1"/>
    <w:link w:val="35"/>
    <w:unhideWhenUsed/>
    <w:qFormat/>
    <w:uiPriority w:val="99"/>
    <w:pPr>
      <w:autoSpaceDE w:val="0"/>
      <w:autoSpaceDN w:val="0"/>
      <w:jc w:val="left"/>
    </w:pPr>
    <w:rPr>
      <w:rFonts w:ascii="华文仿宋" w:hAnsi="华文仿宋" w:eastAsia="华文仿宋" w:cs="宋体"/>
      <w:kern w:val="0"/>
      <w:sz w:val="28"/>
      <w:szCs w:val="28"/>
    </w:rPr>
  </w:style>
  <w:style w:type="paragraph" w:styleId="5">
    <w:name w:val="Date"/>
    <w:basedOn w:val="1"/>
    <w:next w:val="1"/>
    <w:link w:val="20"/>
    <w:qFormat/>
    <w:uiPriority w:val="0"/>
    <w:pPr>
      <w:autoSpaceDE w:val="0"/>
      <w:autoSpaceDN w:val="0"/>
      <w:snapToGrid w:val="0"/>
      <w:spacing w:line="590" w:lineRule="atLeast"/>
      <w:ind w:left="100" w:leftChars="2500" w:firstLine="624"/>
    </w:pPr>
    <w:rPr>
      <w:rFonts w:ascii="Times New Roman" w:hAnsi="Times New Roman" w:eastAsia="方正仿宋_GBK"/>
      <w:snapToGrid w:val="0"/>
      <w:kern w:val="0"/>
      <w:sz w:val="32"/>
      <w:szCs w:val="20"/>
    </w:rPr>
  </w:style>
  <w:style w:type="paragraph" w:styleId="6">
    <w:name w:val="Balloon Text"/>
    <w:basedOn w:val="1"/>
    <w:link w:val="23"/>
    <w:qFormat/>
    <w:uiPriority w:val="0"/>
    <w:rPr>
      <w:sz w:val="18"/>
      <w:szCs w:val="18"/>
    </w:rPr>
  </w:style>
  <w:style w:type="paragraph" w:styleId="7">
    <w:name w:val="footer"/>
    <w:basedOn w:val="1"/>
    <w:link w:val="25"/>
    <w:qFormat/>
    <w:uiPriority w:val="99"/>
    <w:pPr>
      <w:tabs>
        <w:tab w:val="center" w:pos="4153"/>
        <w:tab w:val="right" w:pos="8306"/>
      </w:tabs>
      <w:autoSpaceDE w:val="0"/>
      <w:autoSpaceDN w:val="0"/>
      <w:snapToGrid w:val="0"/>
      <w:spacing w:line="400" w:lineRule="atLeast"/>
      <w:jc w:val="center"/>
    </w:pPr>
    <w:rPr>
      <w:rFonts w:ascii="Times New Roman" w:hAnsi="Times New Roman" w:eastAsia="方正仿宋_GBK"/>
      <w:snapToGrid w:val="0"/>
      <w:kern w:val="0"/>
      <w:sz w:val="28"/>
      <w:szCs w:val="20"/>
    </w:rPr>
  </w:style>
  <w:style w:type="paragraph" w:styleId="8">
    <w:name w:val="header"/>
    <w:basedOn w:val="1"/>
    <w:link w:val="24"/>
    <w:qFormat/>
    <w:uiPriority w:val="99"/>
    <w:pPr>
      <w:pBdr>
        <w:bottom w:val="single" w:color="auto" w:sz="6" w:space="1"/>
      </w:pBdr>
      <w:tabs>
        <w:tab w:val="center" w:pos="4153"/>
        <w:tab w:val="right" w:pos="8306"/>
      </w:tabs>
      <w:autoSpaceDE w:val="0"/>
      <w:autoSpaceDN w:val="0"/>
      <w:snapToGrid w:val="0"/>
      <w:spacing w:line="240" w:lineRule="atLeast"/>
      <w:ind w:firstLine="624"/>
      <w:jc w:val="center"/>
    </w:pPr>
    <w:rPr>
      <w:rFonts w:ascii="Times New Roman" w:hAnsi="Times New Roman" w:eastAsia="方正仿宋_GBK"/>
      <w:snapToGrid w:val="0"/>
      <w:kern w:val="0"/>
      <w:sz w:val="18"/>
      <w:szCs w:val="20"/>
    </w:rPr>
  </w:style>
  <w:style w:type="paragraph" w:styleId="9">
    <w:name w:val="toc 1"/>
    <w:basedOn w:val="1"/>
    <w:next w:val="1"/>
    <w:unhideWhenUsed/>
    <w:qFormat/>
    <w:uiPriority w:val="39"/>
    <w:rPr>
      <w:rFonts w:asciiTheme="minorHAnsi" w:hAnsiTheme="minorHAnsi" w:eastAsiaTheme="minorEastAsia" w:cstheme="minorBidi"/>
    </w:rPr>
  </w:style>
  <w:style w:type="paragraph" w:styleId="10">
    <w:name w:val="Subtitle"/>
    <w:basedOn w:val="1"/>
    <w:next w:val="1"/>
    <w:link w:val="21"/>
    <w:qFormat/>
    <w:uiPriority w:val="0"/>
    <w:pPr>
      <w:spacing w:before="240" w:after="60" w:line="312" w:lineRule="auto"/>
      <w:jc w:val="center"/>
      <w:outlineLvl w:val="1"/>
    </w:pPr>
    <w:rPr>
      <w:rFonts w:asciiTheme="majorHAnsi" w:hAnsiTheme="majorHAnsi" w:cstheme="majorBidi"/>
      <w:b/>
      <w:bCs/>
      <w:kern w:val="28"/>
      <w:sz w:val="32"/>
      <w:szCs w:val="32"/>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2">
    <w:name w:val="Title"/>
    <w:basedOn w:val="1"/>
    <w:next w:val="1"/>
    <w:link w:val="28"/>
    <w:qFormat/>
    <w:uiPriority w:val="10"/>
    <w:pPr>
      <w:spacing w:before="240" w:after="60"/>
      <w:jc w:val="center"/>
      <w:outlineLvl w:val="0"/>
    </w:pPr>
    <w:rPr>
      <w:rFonts w:ascii="等线 Light" w:hAnsi="等线 Light" w:cs="宋体"/>
      <w:b/>
      <w:bCs/>
      <w:sz w:val="32"/>
      <w:szCs w:val="32"/>
    </w:rPr>
  </w:style>
  <w:style w:type="character" w:styleId="15">
    <w:name w:val="Strong"/>
    <w:basedOn w:val="14"/>
    <w:qFormat/>
    <w:uiPriority w:val="22"/>
    <w:rPr>
      <w:b/>
      <w:bCs/>
    </w:rPr>
  </w:style>
  <w:style w:type="character" w:styleId="16">
    <w:name w:val="page number"/>
    <w:basedOn w:val="14"/>
    <w:qFormat/>
    <w:uiPriority w:val="99"/>
  </w:style>
  <w:style w:type="paragraph" w:customStyle="1" w:styleId="17">
    <w:name w:val="标题1"/>
    <w:basedOn w:val="1"/>
    <w:next w:val="1"/>
    <w:qFormat/>
    <w:uiPriority w:val="0"/>
    <w:pPr>
      <w:tabs>
        <w:tab w:val="left" w:pos="9193"/>
        <w:tab w:val="left" w:pos="9827"/>
      </w:tabs>
      <w:autoSpaceDE w:val="0"/>
      <w:autoSpaceDN w:val="0"/>
      <w:snapToGrid w:val="0"/>
      <w:spacing w:line="700" w:lineRule="atLeast"/>
      <w:jc w:val="center"/>
    </w:pPr>
    <w:rPr>
      <w:rFonts w:ascii="Times New Roman" w:hAnsi="Times New Roman" w:eastAsia="方正小标宋_GBK"/>
      <w:snapToGrid w:val="0"/>
      <w:kern w:val="0"/>
      <w:sz w:val="44"/>
      <w:szCs w:val="20"/>
    </w:rPr>
  </w:style>
  <w:style w:type="paragraph" w:customStyle="1" w:styleId="18">
    <w:name w:val="标题2"/>
    <w:basedOn w:val="1"/>
    <w:next w:val="1"/>
    <w:qFormat/>
    <w:uiPriority w:val="0"/>
    <w:pPr>
      <w:autoSpaceDE w:val="0"/>
      <w:autoSpaceDN w:val="0"/>
      <w:snapToGrid w:val="0"/>
      <w:spacing w:line="590" w:lineRule="atLeast"/>
      <w:jc w:val="center"/>
    </w:pPr>
    <w:rPr>
      <w:rFonts w:ascii="Times New Roman" w:hAnsi="Times New Roman" w:eastAsia="方正楷体_GBK"/>
      <w:snapToGrid w:val="0"/>
      <w:kern w:val="0"/>
      <w:sz w:val="32"/>
      <w:szCs w:val="20"/>
    </w:rPr>
  </w:style>
  <w:style w:type="paragraph" w:customStyle="1" w:styleId="19">
    <w:name w:val="标题3"/>
    <w:basedOn w:val="1"/>
    <w:next w:val="1"/>
    <w:qFormat/>
    <w:uiPriority w:val="0"/>
    <w:pPr>
      <w:autoSpaceDE w:val="0"/>
      <w:autoSpaceDN w:val="0"/>
      <w:snapToGrid w:val="0"/>
      <w:spacing w:line="590" w:lineRule="atLeast"/>
      <w:ind w:firstLine="624"/>
    </w:pPr>
    <w:rPr>
      <w:rFonts w:ascii="Times New Roman" w:hAnsi="Times New Roman" w:eastAsia="方正黑体_GBK"/>
      <w:snapToGrid w:val="0"/>
      <w:kern w:val="0"/>
      <w:sz w:val="32"/>
      <w:szCs w:val="20"/>
    </w:rPr>
  </w:style>
  <w:style w:type="character" w:customStyle="1" w:styleId="20">
    <w:name w:val="日期 字符"/>
    <w:link w:val="5"/>
    <w:qFormat/>
    <w:uiPriority w:val="0"/>
    <w:rPr>
      <w:rFonts w:eastAsia="方正仿宋_GBK"/>
      <w:snapToGrid w:val="0"/>
      <w:sz w:val="32"/>
    </w:rPr>
  </w:style>
  <w:style w:type="character" w:customStyle="1" w:styleId="21">
    <w:name w:val="副标题 字符"/>
    <w:basedOn w:val="14"/>
    <w:link w:val="10"/>
    <w:qFormat/>
    <w:uiPriority w:val="0"/>
    <w:rPr>
      <w:rFonts w:asciiTheme="majorHAnsi" w:hAnsiTheme="majorHAnsi" w:cstheme="majorBidi"/>
      <w:b/>
      <w:bCs/>
      <w:kern w:val="28"/>
      <w:sz w:val="32"/>
      <w:szCs w:val="32"/>
    </w:rPr>
  </w:style>
  <w:style w:type="paragraph" w:styleId="22">
    <w:name w:val="List Paragraph"/>
    <w:basedOn w:val="1"/>
    <w:qFormat/>
    <w:uiPriority w:val="34"/>
    <w:pPr>
      <w:ind w:firstLine="420" w:firstLineChars="200"/>
    </w:pPr>
  </w:style>
  <w:style w:type="character" w:customStyle="1" w:styleId="23">
    <w:name w:val="批注框文本 字符"/>
    <w:basedOn w:val="14"/>
    <w:link w:val="6"/>
    <w:qFormat/>
    <w:uiPriority w:val="0"/>
    <w:rPr>
      <w:rFonts w:ascii="Calibri" w:hAnsi="Calibri"/>
      <w:kern w:val="2"/>
      <w:sz w:val="18"/>
      <w:szCs w:val="18"/>
    </w:rPr>
  </w:style>
  <w:style w:type="character" w:customStyle="1" w:styleId="24">
    <w:name w:val="页眉 字符"/>
    <w:link w:val="8"/>
    <w:qFormat/>
    <w:locked/>
    <w:uiPriority w:val="99"/>
    <w:rPr>
      <w:rFonts w:eastAsia="方正仿宋_GBK"/>
      <w:snapToGrid w:val="0"/>
      <w:sz w:val="18"/>
    </w:rPr>
  </w:style>
  <w:style w:type="character" w:customStyle="1" w:styleId="25">
    <w:name w:val="页脚 字符"/>
    <w:link w:val="7"/>
    <w:qFormat/>
    <w:locked/>
    <w:uiPriority w:val="99"/>
    <w:rPr>
      <w:rFonts w:eastAsia="方正仿宋_GBK"/>
      <w:snapToGrid w:val="0"/>
      <w:sz w:val="28"/>
    </w:rPr>
  </w:style>
  <w:style w:type="paragraph" w:customStyle="1" w:styleId="26">
    <w:name w:val="列表段落1"/>
    <w:basedOn w:val="1"/>
    <w:qFormat/>
    <w:uiPriority w:val="34"/>
    <w:pPr>
      <w:ind w:firstLine="420" w:firstLineChars="200"/>
    </w:pPr>
    <w:rPr>
      <w:rFonts w:asciiTheme="minorHAnsi" w:hAnsiTheme="minorHAnsi" w:eastAsiaTheme="minorEastAsia" w:cstheme="minorBidi"/>
    </w:rPr>
  </w:style>
  <w:style w:type="character" w:customStyle="1" w:styleId="27">
    <w:name w:val="NormalCharacter"/>
    <w:semiHidden/>
    <w:qFormat/>
    <w:uiPriority w:val="0"/>
  </w:style>
  <w:style w:type="character" w:customStyle="1" w:styleId="28">
    <w:name w:val="标题 字符"/>
    <w:basedOn w:val="14"/>
    <w:link w:val="12"/>
    <w:qFormat/>
    <w:uiPriority w:val="10"/>
    <w:rPr>
      <w:rFonts w:ascii="等线 Light" w:hAnsi="等线 Light" w:cs="宋体"/>
      <w:b/>
      <w:bCs/>
      <w:kern w:val="2"/>
      <w:sz w:val="32"/>
      <w:szCs w:val="32"/>
    </w:rPr>
  </w:style>
  <w:style w:type="character" w:customStyle="1" w:styleId="29">
    <w:name w:val="MSG_EN_FONT_STYLE_NAME_TEMPLATE_ROLE_NUMBER MSG_EN_FONT_STYLE_NAME_BY_ROLE_TEXT 2_"/>
    <w:basedOn w:val="14"/>
    <w:link w:val="30"/>
    <w:qFormat/>
    <w:uiPriority w:val="99"/>
    <w:rPr>
      <w:rFonts w:ascii="PMingLiU" w:eastAsia="PMingLiU" w:cs="PMingLiU"/>
      <w:sz w:val="28"/>
      <w:szCs w:val="28"/>
      <w:shd w:val="clear" w:color="auto" w:fill="FFFFFF"/>
    </w:rPr>
  </w:style>
  <w:style w:type="paragraph" w:customStyle="1" w:styleId="30">
    <w:name w:val="MSG_EN_FONT_STYLE_NAME_TEMPLATE_ROLE_NUMBER MSG_EN_FONT_STYLE_NAME_BY_ROLE_TEXT 2"/>
    <w:basedOn w:val="1"/>
    <w:link w:val="29"/>
    <w:qFormat/>
    <w:uiPriority w:val="99"/>
    <w:pPr>
      <w:shd w:val="clear" w:color="auto" w:fill="FFFFFF"/>
      <w:spacing w:before="540" w:after="540" w:line="280" w:lineRule="exact"/>
      <w:jc w:val="center"/>
    </w:pPr>
    <w:rPr>
      <w:rFonts w:ascii="PMingLiU" w:hAnsi="Times New Roman" w:eastAsia="PMingLiU" w:cs="PMingLiU"/>
      <w:kern w:val="0"/>
      <w:sz w:val="28"/>
      <w:szCs w:val="28"/>
    </w:rPr>
  </w:style>
  <w:style w:type="paragraph" w:customStyle="1" w:styleId="31">
    <w:name w:val="Null"/>
    <w:qFormat/>
    <w:uiPriority w:val="0"/>
    <w:pPr>
      <w:jc w:val="both"/>
      <w:textAlignment w:val="baseline"/>
    </w:pPr>
    <w:rPr>
      <w:rFonts w:ascii="Calibri" w:hAnsi="Calibri" w:eastAsia="宋体" w:cs="Times New Roman"/>
      <w:kern w:val="2"/>
      <w:sz w:val="21"/>
      <w:szCs w:val="22"/>
      <w:lang w:val="en-US" w:eastAsia="zh-CN" w:bidi="ar-SA"/>
    </w:rPr>
  </w:style>
  <w:style w:type="character" w:customStyle="1" w:styleId="32">
    <w:name w:val="bz-content2"/>
    <w:qFormat/>
    <w:uiPriority w:val="0"/>
    <w:rPr>
      <w:sz w:val="20"/>
      <w:szCs w:val="20"/>
      <w:u w:val="none"/>
    </w:rPr>
  </w:style>
  <w:style w:type="paragraph" w:customStyle="1" w:styleId="33">
    <w:name w:val="样式 标题1 + 段前: 0.5 行 段后: 0.5 行"/>
    <w:basedOn w:val="17"/>
    <w:qFormat/>
    <w:uiPriority w:val="0"/>
    <w:pPr>
      <w:spacing w:line="640" w:lineRule="exact"/>
    </w:pPr>
    <w:rPr>
      <w:rFonts w:cs="宋体"/>
    </w:rPr>
  </w:style>
  <w:style w:type="paragraph" w:customStyle="1" w:styleId="34">
    <w:name w:val="_Style 31"/>
    <w:basedOn w:val="1"/>
    <w:next w:val="22"/>
    <w:qFormat/>
    <w:uiPriority w:val="34"/>
    <w:pPr>
      <w:ind w:firstLine="420" w:firstLineChars="200"/>
    </w:pPr>
    <w:rPr>
      <w:rFonts w:asciiTheme="minorHAnsi" w:hAnsiTheme="minorHAnsi" w:eastAsiaTheme="minorEastAsia" w:cstheme="minorBidi"/>
    </w:rPr>
  </w:style>
  <w:style w:type="character" w:customStyle="1" w:styleId="35">
    <w:name w:val="正文文本 字符"/>
    <w:basedOn w:val="14"/>
    <w:link w:val="4"/>
    <w:qFormat/>
    <w:uiPriority w:val="99"/>
    <w:rPr>
      <w:rFonts w:ascii="华文仿宋" w:hAnsi="华文仿宋" w:eastAsia="华文仿宋" w:cs="宋体"/>
      <w:sz w:val="28"/>
      <w:szCs w:val="28"/>
    </w:rPr>
  </w:style>
  <w:style w:type="paragraph" w:customStyle="1" w:styleId="36">
    <w:name w:val="首行缩进"/>
    <w:qFormat/>
    <w:uiPriority w:val="0"/>
    <w:pPr>
      <w:widowControl w:val="0"/>
      <w:ind w:firstLine="480" w:firstLineChars="200"/>
      <w:jc w:val="both"/>
    </w:pPr>
    <w:rPr>
      <w:rFonts w:ascii="Times New Roman" w:hAnsi="Times New Roman" w:eastAsia="宋体" w:cs="Times New Roman"/>
      <w:kern w:val="2"/>
      <w:sz w:val="21"/>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wxf/E:\&#31649;\&#20989;&#20214;\&#26032;&#20844;&#25991;&#36890;&#29992;&#27169;&#29256;(&#26368;&#26032;&#6528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新公文通用模版(最新）.dot</Template>
  <Company>wyk</Company>
  <Pages>4</Pages>
  <Words>1544</Words>
  <Characters>1590</Characters>
  <Lines>11</Lines>
  <Paragraphs>3</Paragraphs>
  <TotalTime>613</TotalTime>
  <ScaleCrop>false</ScaleCrop>
  <LinksUpToDate>false</LinksUpToDate>
  <CharactersWithSpaces>1597</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2022-04-29T18:26:00Z</dcterms:created>
  <dc:creator>Guan</dc:creator>
  <cp:lastModifiedBy>王晓芳</cp:lastModifiedBy>
  <cp:lastPrinted>2025-05-29T17:48:00Z</cp:lastPrinted>
  <dcterms:modified xsi:type="dcterms:W3CDTF">2026-07-28T11:28:38Z</dcterms:modified>
  <dc:title>公文通报模板</dc:title>
  <cp:revision>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9B169FA65C7D420CAD99EF31CDFB18AB_12</vt:lpwstr>
  </property>
  <property fmtid="{D5CDD505-2E9C-101B-9397-08002B2CF9AE}" pid="4" name="KSOTemplateDocerSaveRecord">
    <vt:lpwstr>eyJoZGlkIjoiZDRhMzNiZmZlOGU5OTAwMzMxZjRlMjUzNDcwNGJlMTYiLCJ1c2VySWQiOiIxNzk0NDU0MzgzIn0=</vt:lpwstr>
  </property>
</Properties>
</file>