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5547" w:rsidRDefault="002E5547" w:rsidP="002E5547">
      <w:pPr>
        <w:spacing w:line="600" w:lineRule="exact"/>
        <w:rPr>
          <w:rFonts w:ascii="方正黑体_GBK" w:eastAsia="方正黑体_GBK" w:hint="eastAsia"/>
          <w:sz w:val="32"/>
          <w:szCs w:val="32"/>
        </w:rPr>
      </w:pPr>
      <w:bookmarkStart w:id="0" w:name="_GoBack"/>
      <w:r>
        <w:rPr>
          <w:rFonts w:ascii="方正黑体_GBK" w:eastAsia="方正黑体_GBK" w:hint="eastAsia"/>
          <w:sz w:val="32"/>
          <w:szCs w:val="32"/>
        </w:rPr>
        <w:t>附件</w:t>
      </w:r>
      <w:r w:rsidRPr="001E4033">
        <w:rPr>
          <w:rFonts w:eastAsia="方正黑体_GBK"/>
          <w:sz w:val="32"/>
          <w:szCs w:val="32"/>
        </w:rPr>
        <w:t>1</w:t>
      </w:r>
    </w:p>
    <w:p w:rsidR="002E5547" w:rsidRDefault="002E5547" w:rsidP="002E5547">
      <w:pPr>
        <w:spacing w:afterLines="200" w:after="624" w:line="600" w:lineRule="exact"/>
        <w:jc w:val="center"/>
        <w:rPr>
          <w:rFonts w:eastAsia="方正小标宋_GBK" w:hint="eastAsia"/>
          <w:sz w:val="36"/>
          <w:szCs w:val="36"/>
        </w:rPr>
      </w:pPr>
      <w:r>
        <w:rPr>
          <w:rFonts w:eastAsia="方正小标宋_GBK" w:hint="eastAsia"/>
          <w:sz w:val="36"/>
          <w:szCs w:val="36"/>
        </w:rPr>
        <w:t>202</w:t>
      </w:r>
      <w:r>
        <w:rPr>
          <w:rFonts w:eastAsia="方正小标宋_GBK"/>
          <w:sz w:val="36"/>
          <w:szCs w:val="36"/>
        </w:rPr>
        <w:t>6</w:t>
      </w:r>
      <w:r>
        <w:rPr>
          <w:rFonts w:eastAsia="方正小标宋_GBK" w:hint="eastAsia"/>
          <w:sz w:val="36"/>
          <w:szCs w:val="36"/>
        </w:rPr>
        <w:t>年财政专项</w:t>
      </w:r>
      <w:r>
        <w:rPr>
          <w:rFonts w:eastAsia="方正小标宋_GBK"/>
          <w:sz w:val="36"/>
          <w:szCs w:val="36"/>
        </w:rPr>
        <w:t>课题研究要点</w:t>
      </w:r>
    </w:p>
    <w:bookmarkEnd w:id="0"/>
    <w:p w:rsidR="002E5547" w:rsidRDefault="002E5547" w:rsidP="002E5547">
      <w:pPr>
        <w:ind w:firstLineChars="200" w:firstLine="640"/>
        <w:rPr>
          <w:rFonts w:ascii="方正仿宋_GBK" w:eastAsia="方正仿宋_GBK" w:hint="eastAsia"/>
          <w:sz w:val="32"/>
          <w:szCs w:val="32"/>
        </w:rPr>
      </w:pPr>
      <w:r>
        <w:rPr>
          <w:rFonts w:ascii="方正楷体_GBK" w:eastAsia="方正楷体_GBK"/>
          <w:sz w:val="32"/>
          <w:szCs w:val="32"/>
        </w:rPr>
        <w:t>1. 适应数字经济发展的税制结构、财政支持政策研究</w:t>
      </w:r>
      <w:r>
        <w:rPr>
          <w:rFonts w:ascii="方正楷体_GBK" w:eastAsia="方正楷体_GBK" w:hint="eastAsia"/>
          <w:sz w:val="32"/>
          <w:szCs w:val="32"/>
        </w:rPr>
        <w:t>。</w:t>
      </w:r>
      <w:r>
        <w:rPr>
          <w:rFonts w:ascii="方正仿宋_GBK" w:eastAsia="方正仿宋_GBK" w:hint="eastAsia"/>
          <w:sz w:val="32"/>
          <w:szCs w:val="32"/>
        </w:rPr>
        <w:t>围绕数字经济新业态、新模式的快速发展，系统分析现行税制与财政政策在应对数字经济“去中心化”“虚拟化”等特征时面临的不适应问题，重点研究税收分享规则、税收征管数字化、财政补贴与引导机制等关键领域，借鉴国际经验，提出优化税制结构、完善财政支持政策的路径与对策。</w:t>
      </w:r>
    </w:p>
    <w:p w:rsidR="002E5547" w:rsidRDefault="002E5547" w:rsidP="002E5547">
      <w:pPr>
        <w:ind w:firstLineChars="200" w:firstLine="640"/>
        <w:rPr>
          <w:rFonts w:ascii="方正仿宋_GBK" w:eastAsia="方正仿宋_GBK"/>
          <w:sz w:val="32"/>
          <w:szCs w:val="32"/>
        </w:rPr>
      </w:pPr>
      <w:r>
        <w:rPr>
          <w:rFonts w:ascii="方正楷体_GBK" w:eastAsia="方正楷体_GBK" w:hint="eastAsia"/>
          <w:sz w:val="32"/>
          <w:szCs w:val="32"/>
        </w:rPr>
        <w:t>2.</w:t>
      </w:r>
      <w:r>
        <w:rPr>
          <w:rFonts w:ascii="方正楷体_GBK" w:eastAsia="方正楷体_GBK"/>
          <w:sz w:val="32"/>
          <w:szCs w:val="32"/>
        </w:rPr>
        <w:t xml:space="preserve"> </w:t>
      </w:r>
      <w:r>
        <w:rPr>
          <w:rFonts w:ascii="方正楷体_GBK" w:eastAsia="方正楷体_GBK" w:hint="eastAsia"/>
          <w:sz w:val="32"/>
          <w:szCs w:val="32"/>
        </w:rPr>
        <w:t>政府投资项目形成资产后续运维研究。</w:t>
      </w:r>
      <w:r>
        <w:rPr>
          <w:rFonts w:ascii="方正仿宋_GBK" w:eastAsia="方正仿宋_GBK" w:hint="eastAsia"/>
          <w:sz w:val="32"/>
          <w:szCs w:val="32"/>
        </w:rPr>
        <w:t>围绕政府投资项目全生命周期运维管理的规范性及防范财政支出风险，系统梳理资产类型与权属关系，分析运维成本分担、财政支出责任及市场化运营机制，研究提出优化财政投入方式、盘活存量资产、提升运维绩效的政策建议。</w:t>
      </w:r>
    </w:p>
    <w:p w:rsidR="002E5547" w:rsidRPr="001E4033" w:rsidRDefault="002E5547" w:rsidP="002E5547">
      <w:pPr>
        <w:ind w:firstLineChars="200" w:firstLine="640"/>
        <w:rPr>
          <w:rFonts w:ascii="方正仿宋_GBK" w:eastAsia="方正仿宋_GBK" w:hint="eastAsia"/>
          <w:sz w:val="32"/>
          <w:szCs w:val="32"/>
        </w:rPr>
      </w:pPr>
      <w:r>
        <w:rPr>
          <w:rFonts w:ascii="方正楷体_GBK" w:eastAsia="方正楷体_GBK"/>
          <w:sz w:val="32"/>
          <w:szCs w:val="32"/>
        </w:rPr>
        <w:t>3</w:t>
      </w:r>
      <w:r>
        <w:rPr>
          <w:rFonts w:ascii="方正楷体_GBK" w:eastAsia="方正楷体_GBK" w:hint="eastAsia"/>
          <w:sz w:val="32"/>
          <w:szCs w:val="32"/>
        </w:rPr>
        <w:t>. 知识产权与人工智能双向赋能发展机制及财政支持政策体系研究。</w:t>
      </w:r>
      <w:r>
        <w:rPr>
          <w:rFonts w:ascii="方正仿宋_GBK" w:eastAsia="方正仿宋_GBK" w:hint="eastAsia"/>
          <w:sz w:val="32"/>
          <w:szCs w:val="32"/>
        </w:rPr>
        <w:t>基于人工智能迭代升级的新形势，系统梳理知识产权与人工智能双向融合的发展机理、实践模式及突出短板，聚焦技术协同、成果转化、产权保护、产业赋能等关键环节，研究构建适配双向赋能的财政支持政策体系与长效机制，提出优化配置与强化效能的对策建议。</w:t>
      </w:r>
    </w:p>
    <w:p w:rsidR="002E5547" w:rsidRPr="001E4033" w:rsidRDefault="002E5547" w:rsidP="002E5547">
      <w:pPr>
        <w:ind w:firstLineChars="200" w:firstLine="640"/>
        <w:rPr>
          <w:rFonts w:ascii="方正楷体_GBK" w:eastAsia="方正仿宋_GBK"/>
          <w:sz w:val="32"/>
          <w:szCs w:val="32"/>
        </w:rPr>
      </w:pPr>
      <w:r>
        <w:rPr>
          <w:rFonts w:ascii="方正楷体_GBK" w:eastAsia="方正楷体_GBK"/>
          <w:sz w:val="32"/>
          <w:szCs w:val="32"/>
        </w:rPr>
        <w:t>4. 新形势下基于财政视角的江苏公立医院高质量发展路径研究</w:t>
      </w:r>
      <w:r>
        <w:rPr>
          <w:rFonts w:ascii="方正楷体_GBK" w:eastAsia="方正楷体_GBK" w:hint="eastAsia"/>
          <w:sz w:val="32"/>
          <w:szCs w:val="32"/>
        </w:rPr>
        <w:t>。</w:t>
      </w:r>
      <w:r>
        <w:rPr>
          <w:rFonts w:ascii="方正仿宋_GBK" w:eastAsia="方正仿宋_GBK" w:hint="eastAsia"/>
          <w:sz w:val="32"/>
          <w:szCs w:val="32"/>
        </w:rPr>
        <w:t>聚焦新医改深化、医保支付方式改革等多重挑战，</w:t>
      </w:r>
      <w:r>
        <w:rPr>
          <w:rFonts w:ascii="方正仿宋_GBK" w:eastAsia="方正仿宋_GBK" w:hint="eastAsia"/>
          <w:sz w:val="32"/>
          <w:szCs w:val="32"/>
        </w:rPr>
        <w:lastRenderedPageBreak/>
        <w:t>系统分析江苏公立医院收入结构、成本控制、债务化解及财政补偿机制等核心问题，围绕健全预算绩效管理、优化财政补助方式、防范化解运行风险等关键环节，研究提出财政支持公立医院高质量发展的路径选择与政策建议。</w:t>
      </w:r>
    </w:p>
    <w:p w:rsidR="002E5547" w:rsidRDefault="002E5547" w:rsidP="002E5547">
      <w:pPr>
        <w:ind w:firstLineChars="200" w:firstLine="640"/>
        <w:rPr>
          <w:rFonts w:ascii="方正仿宋_GBK" w:eastAsia="方正仿宋_GBK"/>
          <w:sz w:val="32"/>
          <w:szCs w:val="32"/>
        </w:rPr>
      </w:pPr>
      <w:r>
        <w:rPr>
          <w:rFonts w:ascii="方正楷体_GBK" w:eastAsia="方正楷体_GBK"/>
          <w:sz w:val="32"/>
          <w:szCs w:val="32"/>
        </w:rPr>
        <w:t xml:space="preserve">5. </w:t>
      </w:r>
      <w:r>
        <w:rPr>
          <w:rFonts w:ascii="方正楷体_GBK" w:eastAsia="方正楷体_GBK" w:hint="eastAsia"/>
          <w:sz w:val="32"/>
          <w:szCs w:val="32"/>
        </w:rPr>
        <w:t>零基预算改革背景下重点领域“一揽子”政策和“一类事”成本预算绩效分析路径方法研究。</w:t>
      </w:r>
      <w:r>
        <w:rPr>
          <w:rFonts w:ascii="方正仿宋_GBK" w:eastAsia="方正仿宋_GBK" w:hint="eastAsia"/>
          <w:sz w:val="32"/>
          <w:szCs w:val="32"/>
        </w:rPr>
        <w:t>对照健全现代预算制度、深化零基预算改革的目标任务，针对财政投入的</w:t>
      </w:r>
      <w:r>
        <w:rPr>
          <w:rFonts w:ascii="方正仿宋_GBK" w:eastAsia="方正仿宋_GBK"/>
          <w:sz w:val="32"/>
          <w:szCs w:val="32"/>
        </w:rPr>
        <w:t>重点政策项目和重点领域</w:t>
      </w:r>
      <w:r>
        <w:rPr>
          <w:rFonts w:ascii="方正仿宋_GBK" w:eastAsia="方正仿宋_GBK" w:hint="eastAsia"/>
          <w:sz w:val="32"/>
          <w:szCs w:val="32"/>
        </w:rPr>
        <w:t>，聚焦绩效目标设定、业务管理流程、成本构成核定、统筹管理模式等关键问题，研究提出重点领域“一揽子”政策和“一类事”成本预算绩效分析的方法体系和操作路径。</w:t>
      </w:r>
    </w:p>
    <w:p w:rsidR="002E5547" w:rsidRDefault="002E5547" w:rsidP="002E5547">
      <w:pPr>
        <w:ind w:firstLineChars="200" w:firstLine="640"/>
        <w:rPr>
          <w:rFonts w:ascii="方正楷体_GBK" w:eastAsia="方正楷体_GBK"/>
          <w:sz w:val="32"/>
          <w:szCs w:val="32"/>
        </w:rPr>
      </w:pPr>
      <w:r>
        <w:rPr>
          <w:rFonts w:ascii="方正楷体_GBK" w:eastAsia="方正楷体_GBK"/>
          <w:sz w:val="32"/>
          <w:szCs w:val="32"/>
        </w:rPr>
        <w:t>6</w:t>
      </w:r>
      <w:r>
        <w:rPr>
          <w:rFonts w:ascii="方正楷体_GBK" w:eastAsia="方正楷体_GBK" w:hint="eastAsia"/>
          <w:sz w:val="32"/>
          <w:szCs w:val="32"/>
        </w:rPr>
        <w:t>.</w:t>
      </w:r>
      <w:r>
        <w:rPr>
          <w:rFonts w:ascii="方正楷体_GBK" w:eastAsia="方正楷体_GBK"/>
          <w:sz w:val="32"/>
          <w:szCs w:val="32"/>
        </w:rPr>
        <w:t xml:space="preserve"> </w:t>
      </w:r>
      <w:r>
        <w:rPr>
          <w:rFonts w:ascii="方正楷体_GBK" w:eastAsia="方正楷体_GBK" w:hint="eastAsia"/>
          <w:sz w:val="32"/>
          <w:szCs w:val="32"/>
        </w:rPr>
        <w:t>财政支持文体旅联动促消费研究。</w:t>
      </w:r>
      <w:r>
        <w:rPr>
          <w:rFonts w:ascii="方正仿宋_GBK" w:eastAsia="方正仿宋_GBK" w:hint="eastAsia"/>
          <w:sz w:val="32"/>
          <w:szCs w:val="32"/>
        </w:rPr>
        <w:t>立足文体旅深度融合、新型消费提质扩容的发展态势，梳理财政支持文体旅联动发展的政策工具、投入模式和管理现状，总结提炼国内外典型实践与有益经验，剖析提升财政资金使用效能、放大消费牵引效应的机制路径，从优化支出结构、创新扶持方式、健全监管机制等方面提出对策建议。</w:t>
      </w:r>
    </w:p>
    <w:p w:rsidR="002E5547" w:rsidRDefault="002E5547" w:rsidP="002E5547">
      <w:pPr>
        <w:ind w:firstLineChars="200" w:firstLine="640"/>
        <w:rPr>
          <w:rFonts w:ascii="方正仿宋_GBK" w:eastAsia="方正仿宋_GBK"/>
          <w:sz w:val="32"/>
          <w:szCs w:val="32"/>
        </w:rPr>
      </w:pPr>
    </w:p>
    <w:p w:rsidR="00514420" w:rsidRDefault="00514420" w:rsidP="002E5547"/>
    <w:sectPr w:rsidR="0051442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27BD" w:rsidRDefault="008327BD" w:rsidP="002E5547">
      <w:r>
        <w:separator/>
      </w:r>
    </w:p>
  </w:endnote>
  <w:endnote w:type="continuationSeparator" w:id="0">
    <w:p w:rsidR="008327BD" w:rsidRDefault="008327BD" w:rsidP="002E55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27BD" w:rsidRDefault="008327BD" w:rsidP="002E5547">
      <w:r>
        <w:separator/>
      </w:r>
    </w:p>
  </w:footnote>
  <w:footnote w:type="continuationSeparator" w:id="0">
    <w:p w:rsidR="008327BD" w:rsidRDefault="008327BD" w:rsidP="002E55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974"/>
    <w:rsid w:val="002E5547"/>
    <w:rsid w:val="00514420"/>
    <w:rsid w:val="00823974"/>
    <w:rsid w:val="008327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D43456"/>
  <w15:chartTrackingRefBased/>
  <w15:docId w15:val="{B3BE793B-00B7-4CC2-BFAC-C53B3DEFB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5547"/>
    <w:pPr>
      <w:widowControl w:val="0"/>
      <w:jc w:val="both"/>
    </w:pPr>
    <w:rPr>
      <w:rFonts w:ascii="Times New Roman" w:eastAsia="宋体"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E554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2E5547"/>
    <w:rPr>
      <w:sz w:val="18"/>
      <w:szCs w:val="18"/>
    </w:rPr>
  </w:style>
  <w:style w:type="paragraph" w:styleId="a5">
    <w:name w:val="footer"/>
    <w:basedOn w:val="a"/>
    <w:link w:val="a6"/>
    <w:uiPriority w:val="99"/>
    <w:unhideWhenUsed/>
    <w:rsid w:val="002E554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2E554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136</Words>
  <Characters>776</Characters>
  <Application>Microsoft Office Word</Application>
  <DocSecurity>0</DocSecurity>
  <Lines>6</Lines>
  <Paragraphs>1</Paragraphs>
  <ScaleCrop>false</ScaleCrop>
  <Company/>
  <LinksUpToDate>false</LinksUpToDate>
  <CharactersWithSpaces>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端端</dc:creator>
  <cp:keywords/>
  <dc:description/>
  <cp:lastModifiedBy>端端</cp:lastModifiedBy>
  <cp:revision>2</cp:revision>
  <dcterms:created xsi:type="dcterms:W3CDTF">2026-07-17T08:12:00Z</dcterms:created>
  <dcterms:modified xsi:type="dcterms:W3CDTF">2026-07-17T08:13:00Z</dcterms:modified>
</cp:coreProperties>
</file>