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Arial" w:hAnsi="Arial" w:eastAsia="Arial" w:cs="Arial"/>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扎实推进企业和行政事业单位内部控制建设为推进国家治理体系和治理能力现代化提供重要支撑</w:t>
      </w:r>
      <w:r>
        <w:rPr>
          <w:rFonts w:ascii="Arial" w:hAnsi="Arial" w:eastAsia="Arial" w:cs="Arial"/>
          <w:sz w:val="16"/>
          <w:szCs w:val="16"/>
          <w:spacing w:val="-2"/>
        </w:rPr>
        <w:t>——</w:t>
      </w:r>
      <w:r>
        <w:rPr>
          <w:rFonts w:ascii="Arial" w:hAnsi="Arial" w:eastAsia="Arial" w:cs="Arial"/>
          <w:sz w:val="16"/>
          <w:szCs w:val="16"/>
          <w:spacing w:val="35"/>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w:t>
      </w:r>
      <w:r>
        <w:rPr>
          <w:rFonts w:ascii="Microsoft YaHei" w:hAnsi="Microsoft YaHei" w:eastAsia="Microsoft YaHei" w:cs="Microsoft YaHei"/>
          <w:sz w:val="16"/>
          <w:szCs w:val="16"/>
          <w:spacing w:val="-29"/>
        </w:rPr>
        <w:t> </w:t>
      </w:r>
      <w:r>
        <w:rPr>
          <w:rFonts w:ascii="Arial" w:hAnsi="Arial" w:eastAsia="Arial" w:cs="Arial"/>
          <w:sz w:val="16"/>
          <w:szCs w:val="16"/>
          <w:spacing w:val="-2"/>
        </w:rPr>
        <w:t>…</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1" w:lineRule="auto"/>
        <w:rPr>
          <w:rFonts w:ascii="SimSun"/>
          <w:sz w:val="21"/>
        </w:rPr>
      </w:pPr>
      <w:r/>
    </w:p>
    <w:p>
      <w:pPr>
        <w:ind w:firstLine="3510"/>
        <w:spacing w:before="112"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扎实推进企业和行政事业单位内部控制建设</w:t>
      </w:r>
    </w:p>
    <w:p>
      <w:pPr>
        <w:ind w:firstLine="2994"/>
        <w:spacing w:before="149" w:line="180"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为推进国家治理体系和治理能力现代化提供重要支撑</w:t>
      </w:r>
    </w:p>
    <w:p>
      <w:pPr>
        <w:ind w:firstLine="3708"/>
        <w:spacing w:before="224"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——《会计改革与发展“十四五”规划纲要》系列解读之八</w:t>
      </w:r>
    </w:p>
    <w:p>
      <w:pPr>
        <w:ind w:firstLine="4548"/>
        <w:spacing w:before="328" w:line="187" w:lineRule="auto"/>
        <w:rPr>
          <w:rFonts w:ascii="SimSun" w:hAnsi="SimSun" w:eastAsia="SimSun" w:cs="SimSun"/>
          <w:sz w:val="17"/>
          <w:szCs w:val="17"/>
        </w:rPr>
      </w:pPr>
      <w:r>
        <w:rPr>
          <w:rFonts w:ascii="SimSun" w:hAnsi="SimSun" w:eastAsia="SimSun" w:cs="SimSun"/>
          <w:sz w:val="17"/>
          <w:szCs w:val="17"/>
          <w:color w:val="333333"/>
        </w:rPr>
        <w:t>2022年3月15日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left="1043" w:right="1016" w:firstLine="366"/>
        <w:spacing w:before="238" w:line="327" w:lineRule="auto"/>
        <w:rPr>
          <w:rFonts w:ascii="SimSun" w:hAnsi="SimSun" w:eastAsia="SimSun" w:cs="SimSun"/>
          <w:sz w:val="17"/>
          <w:szCs w:val="17"/>
        </w:rPr>
      </w:pPr>
      <w:r>
        <w:rPr>
          <w:rFonts w:ascii="SimSun" w:hAnsi="SimSun" w:eastAsia="SimSun" w:cs="SimSun"/>
          <w:sz w:val="17"/>
          <w:szCs w:val="17"/>
          <w:color w:val="333333"/>
          <w:spacing w:val="2"/>
        </w:rPr>
        <w:t>内部控制是企业和行政事业单位有效防范风险、规范权力运行的主要手段，也是会计职能拓展升级的重要支撑，更是推进国家</w:t>
      </w:r>
      <w:r>
        <w:rPr>
          <w:rFonts w:ascii="SimSun" w:hAnsi="SimSun" w:eastAsia="SimSun" w:cs="SimSun"/>
          <w:sz w:val="17"/>
          <w:szCs w:val="17"/>
          <w:color w:val="333333"/>
          <w:spacing w:val="12"/>
        </w:rPr>
        <w:t> </w:t>
      </w:r>
      <w:r>
        <w:rPr>
          <w:rFonts w:ascii="SimSun" w:hAnsi="SimSun" w:eastAsia="SimSun" w:cs="SimSun"/>
          <w:sz w:val="17"/>
          <w:szCs w:val="17"/>
          <w:color w:val="333333"/>
          <w:spacing w:val="2"/>
        </w:rPr>
        <w:t>治理体系和治理能力现代化的长效保障机制。贯彻落实党的十八届四中全会、十九届四中全会关于“强化内部流程控制，防止权力</w:t>
      </w:r>
      <w:r>
        <w:rPr>
          <w:rFonts w:ascii="SimSun" w:hAnsi="SimSun" w:eastAsia="SimSun" w:cs="SimSun"/>
          <w:sz w:val="17"/>
          <w:szCs w:val="17"/>
          <w:color w:val="333333"/>
          <w:spacing w:val="35"/>
        </w:rPr>
        <w:t> </w:t>
      </w:r>
      <w:r>
        <w:rPr>
          <w:rFonts w:ascii="SimSun" w:hAnsi="SimSun" w:eastAsia="SimSun" w:cs="SimSun"/>
          <w:sz w:val="17"/>
          <w:szCs w:val="17"/>
          <w:color w:val="333333"/>
        </w:rPr>
        <w:t>滥用”“健全分事行权、分岗设权、分级授权、定期轮岗制度”等决策部署，</w:t>
      </w:r>
      <w:r>
        <w:rPr>
          <w:rFonts w:ascii="SimSun" w:hAnsi="SimSun" w:eastAsia="SimSun" w:cs="SimSun"/>
          <w:sz w:val="17"/>
          <w:szCs w:val="17"/>
          <w:color w:val="333333"/>
          <w:spacing w:val="-31"/>
        </w:rPr>
        <w:t> </w:t>
      </w:r>
      <w:r>
        <w:rPr>
          <w:rFonts w:ascii="SimSun" w:hAnsi="SimSun" w:eastAsia="SimSun" w:cs="SimSun"/>
          <w:sz w:val="17"/>
          <w:szCs w:val="17"/>
          <w:color w:val="333333"/>
        </w:rPr>
        <w:t>《会计改革与发展“十四五”规划纲要》</w:t>
      </w:r>
      <w:r>
        <w:rPr>
          <w:rFonts w:ascii="SimSun" w:hAnsi="SimSun" w:eastAsia="SimSun" w:cs="SimSun"/>
          <w:sz w:val="17"/>
          <w:szCs w:val="17"/>
          <w:color w:val="333333"/>
          <w:spacing w:val="10"/>
        </w:rPr>
        <w:t> </w:t>
      </w:r>
      <w:r>
        <w:rPr>
          <w:rFonts w:ascii="SimSun" w:hAnsi="SimSun" w:eastAsia="SimSun" w:cs="SimSun"/>
          <w:sz w:val="17"/>
          <w:szCs w:val="17"/>
          <w:color w:val="333333"/>
        </w:rPr>
        <w:t>（以下简称</w:t>
      </w:r>
      <w:r>
        <w:rPr>
          <w:rFonts w:ascii="SimSun" w:hAnsi="SimSun" w:eastAsia="SimSun" w:cs="SimSun"/>
          <w:sz w:val="17"/>
          <w:szCs w:val="17"/>
          <w:color w:val="333333"/>
        </w:rPr>
        <w:t> </w:t>
      </w:r>
      <w:r>
        <w:rPr>
          <w:rFonts w:ascii="SimSun" w:hAnsi="SimSun" w:eastAsia="SimSun" w:cs="SimSun"/>
          <w:sz w:val="17"/>
          <w:szCs w:val="17"/>
          <w:color w:val="333333"/>
          <w:spacing w:val="3"/>
        </w:rPr>
        <w:t>《规划纲要》</w:t>
      </w:r>
      <w:r>
        <w:rPr>
          <w:rFonts w:ascii="SimSun" w:hAnsi="SimSun" w:eastAsia="SimSun" w:cs="SimSun"/>
          <w:sz w:val="17"/>
          <w:szCs w:val="17"/>
          <w:color w:val="333333"/>
          <w:spacing w:val="66"/>
        </w:rPr>
        <w:t> </w:t>
      </w:r>
      <w:r>
        <w:rPr>
          <w:rFonts w:ascii="SimSun" w:hAnsi="SimSun" w:eastAsia="SimSun" w:cs="SimSun"/>
          <w:sz w:val="17"/>
          <w:szCs w:val="17"/>
          <w:color w:val="333333"/>
          <w:spacing w:val="3"/>
        </w:rPr>
        <w:t>）明确提出“修订完善内部控制规范体系，加强内部控制规范实施的政策指导和监督检查，强化上市公司、国有企</w:t>
      </w:r>
      <w:r>
        <w:rPr>
          <w:rFonts w:ascii="SimSun" w:hAnsi="SimSun" w:eastAsia="SimSun" w:cs="SimSun"/>
          <w:sz w:val="17"/>
          <w:szCs w:val="17"/>
          <w:color w:val="333333"/>
        </w:rPr>
        <w:t> </w:t>
      </w:r>
      <w:r>
        <w:rPr>
          <w:rFonts w:ascii="SimSun" w:hAnsi="SimSun" w:eastAsia="SimSun" w:cs="SimSun"/>
          <w:sz w:val="17"/>
          <w:szCs w:val="17"/>
          <w:color w:val="333333"/>
          <w:spacing w:val="2"/>
        </w:rPr>
        <w:t>业、行政事业单位建立并有效实施内部控制的责任”的改革任务，为做好当前和今后一段时期内部控制规范建设与实施工作指明了</w:t>
      </w:r>
      <w:r>
        <w:rPr>
          <w:rFonts w:ascii="SimSun" w:hAnsi="SimSun" w:eastAsia="SimSun" w:cs="SimSun"/>
          <w:sz w:val="17"/>
          <w:szCs w:val="17"/>
          <w:color w:val="333333"/>
          <w:spacing w:val="35"/>
        </w:rPr>
        <w:t> </w:t>
      </w:r>
      <w:r>
        <w:rPr>
          <w:rFonts w:ascii="SimSun" w:hAnsi="SimSun" w:eastAsia="SimSun" w:cs="SimSun"/>
          <w:sz w:val="17"/>
          <w:szCs w:val="17"/>
          <w:color w:val="333333"/>
          <w:spacing w:val="-1"/>
        </w:rPr>
        <w:t>方向，提供了根本遵循。</w:t>
      </w:r>
    </w:p>
    <w:p>
      <w:pPr>
        <w:ind w:firstLine="1391"/>
        <w:spacing w:before="108"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46"/>
        </w:rPr>
        <w:t> </w:t>
      </w:r>
      <w:r>
        <w:rPr>
          <w:rFonts w:ascii="SimSun" w:hAnsi="SimSun" w:eastAsia="SimSun" w:cs="SimSun"/>
          <w:sz w:val="17"/>
          <w:szCs w:val="17"/>
          <w:color w:val="333333"/>
          <w:spacing w:val="11"/>
        </w:rPr>
        <w:t>“十三五”时期内部控制规范体系建立与实施工作取得的主要成绩</w:t>
      </w:r>
    </w:p>
    <w:p>
      <w:pPr>
        <w:ind w:left="1043" w:right="1016" w:firstLine="335"/>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“十三五”期间，财政部建立健全我国企业和行政事业单位内部控制标准体系，联合有关部门大力推动主板上市公司、中央企</w:t>
      </w:r>
      <w:r>
        <w:rPr>
          <w:rFonts w:ascii="SimSun" w:hAnsi="SimSun" w:eastAsia="SimSun" w:cs="SimSun"/>
          <w:sz w:val="17"/>
          <w:szCs w:val="17"/>
          <w:color w:val="333333"/>
          <w:spacing w:val="44"/>
        </w:rPr>
        <w:t> </w:t>
      </w:r>
      <w:r>
        <w:rPr>
          <w:rFonts w:ascii="SimSun" w:hAnsi="SimSun" w:eastAsia="SimSun" w:cs="SimSun"/>
          <w:sz w:val="17"/>
          <w:szCs w:val="17"/>
          <w:color w:val="333333"/>
          <w:spacing w:val="2"/>
        </w:rPr>
        <w:t>业、行政事业单位等各类型组织实施内部控制规范，积极发挥内部控制在规范单位内部运行、有效防范舞弊、保证会计信息真实完</w:t>
      </w:r>
      <w:r>
        <w:rPr>
          <w:rFonts w:ascii="SimSun" w:hAnsi="SimSun" w:eastAsia="SimSun" w:cs="SimSun"/>
          <w:sz w:val="17"/>
          <w:szCs w:val="17"/>
          <w:color w:val="333333"/>
          <w:spacing w:val="35"/>
        </w:rPr>
        <w:t> </w:t>
      </w:r>
      <w:r>
        <w:rPr>
          <w:rFonts w:ascii="SimSun" w:hAnsi="SimSun" w:eastAsia="SimSun" w:cs="SimSun"/>
          <w:sz w:val="17"/>
          <w:szCs w:val="17"/>
          <w:color w:val="333333"/>
        </w:rPr>
        <w:t>整、提升经营管理水平和风险防范能力等方面的重要作用。</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（一）行政事业单位内部控制建设逐步加强。</w:t>
      </w:r>
    </w:p>
    <w:p>
      <w:pPr>
        <w:ind w:left="1043" w:right="1016" w:firstLine="353"/>
        <w:spacing w:before="238" w:line="327" w:lineRule="auto"/>
        <w:rPr>
          <w:rFonts w:ascii="SimSun" w:hAnsi="SimSun" w:eastAsia="SimSun" w:cs="SimSun"/>
          <w:sz w:val="17"/>
          <w:szCs w:val="17"/>
        </w:rPr>
      </w:pPr>
      <w:r>
        <w:rPr>
          <w:rFonts w:ascii="SimSun" w:hAnsi="SimSun" w:eastAsia="SimSun" w:cs="SimSun"/>
          <w:sz w:val="17"/>
          <w:szCs w:val="17"/>
          <w:color w:val="333333"/>
          <w:spacing w:val="2"/>
        </w:rPr>
        <w:t>贯彻落实《关于全面推进行政事业单位内部控制建设的指导意见》</w:t>
      </w:r>
      <w:r>
        <w:rPr>
          <w:rFonts w:ascii="SimSun" w:hAnsi="SimSun" w:eastAsia="SimSun" w:cs="SimSun"/>
          <w:sz w:val="17"/>
          <w:szCs w:val="17"/>
          <w:color w:val="333333"/>
          <w:spacing w:val="21"/>
          <w:w w:val="101"/>
        </w:rPr>
        <w:t> </w:t>
      </w:r>
      <w:r>
        <w:rPr>
          <w:rFonts w:ascii="SimSun" w:hAnsi="SimSun" w:eastAsia="SimSun" w:cs="SimSun"/>
          <w:sz w:val="17"/>
          <w:szCs w:val="17"/>
          <w:color w:val="333333"/>
          <w:spacing w:val="2"/>
        </w:rPr>
        <w:t>提出的“建立内控报告制度”要求，2017年1月，财政部印</w:t>
      </w:r>
      <w:r>
        <w:rPr>
          <w:rFonts w:ascii="SimSun" w:hAnsi="SimSun" w:eastAsia="SimSun" w:cs="SimSun"/>
          <w:sz w:val="17"/>
          <w:szCs w:val="17"/>
          <w:color w:val="333333"/>
        </w:rPr>
        <w:t> </w:t>
      </w:r>
      <w:r>
        <w:rPr>
          <w:rFonts w:ascii="SimSun" w:hAnsi="SimSun" w:eastAsia="SimSun" w:cs="SimSun"/>
          <w:sz w:val="17"/>
          <w:szCs w:val="17"/>
          <w:color w:val="333333"/>
          <w:spacing w:val="1"/>
        </w:rPr>
        <w:t>发了《行政事业单位内部控制报告管理制度（试行）</w:t>
      </w:r>
      <w:r>
        <w:rPr>
          <w:rFonts w:ascii="SimSun" w:hAnsi="SimSun" w:eastAsia="SimSun" w:cs="SimSun"/>
          <w:sz w:val="17"/>
          <w:szCs w:val="17"/>
          <w:color w:val="333333"/>
          <w:spacing w:val="7"/>
        </w:rPr>
        <w:t> </w:t>
      </w:r>
      <w:r>
        <w:rPr>
          <w:rFonts w:ascii="SimSun" w:hAnsi="SimSun" w:eastAsia="SimSun" w:cs="SimSun"/>
          <w:sz w:val="17"/>
          <w:szCs w:val="17"/>
          <w:color w:val="333333"/>
          <w:spacing w:val="1"/>
        </w:rPr>
        <w:t>》，并连续五年组织开展了行政事业单位内部控制报告编报工作，通过“以报</w:t>
      </w:r>
      <w:r>
        <w:rPr>
          <w:rFonts w:ascii="SimSun" w:hAnsi="SimSun" w:eastAsia="SimSun" w:cs="SimSun"/>
          <w:sz w:val="17"/>
          <w:szCs w:val="17"/>
          <w:color w:val="333333"/>
        </w:rPr>
        <w:t> </w:t>
      </w:r>
      <w:r>
        <w:rPr>
          <w:rFonts w:ascii="SimSun" w:hAnsi="SimSun" w:eastAsia="SimSun" w:cs="SimSun"/>
          <w:sz w:val="17"/>
          <w:szCs w:val="17"/>
          <w:color w:val="333333"/>
          <w:spacing w:val="2"/>
        </w:rPr>
        <w:t>促建”的方式，指导督促各级各类行政事业单位加强内部控制建设。截至2020年底，全国56万多家行政事业单位编制并报送单位年</w:t>
      </w:r>
      <w:r>
        <w:rPr>
          <w:rFonts w:ascii="SimSun" w:hAnsi="SimSun" w:eastAsia="SimSun" w:cs="SimSun"/>
          <w:sz w:val="17"/>
          <w:szCs w:val="17"/>
          <w:color w:val="333333"/>
          <w:spacing w:val="29"/>
        </w:rPr>
        <w:t> </w:t>
      </w:r>
      <w:r>
        <w:rPr>
          <w:rFonts w:ascii="SimSun" w:hAnsi="SimSun" w:eastAsia="SimSun" w:cs="SimSun"/>
          <w:sz w:val="17"/>
          <w:szCs w:val="17"/>
          <w:color w:val="333333"/>
          <w:spacing w:val="2"/>
        </w:rPr>
        <w:t>度内部控制报告。各级各类行政事业单位的内控意识逐步提高，内控体系逐步完善，内部控制在防范行政事业单位内外部风险、保</w:t>
      </w:r>
      <w:r>
        <w:rPr>
          <w:rFonts w:ascii="SimSun" w:hAnsi="SimSun" w:eastAsia="SimSun" w:cs="SimSun"/>
          <w:sz w:val="17"/>
          <w:szCs w:val="17"/>
          <w:color w:val="333333"/>
          <w:spacing w:val="35"/>
        </w:rPr>
        <w:t> </w:t>
      </w:r>
      <w:r>
        <w:rPr>
          <w:rFonts w:ascii="SimSun" w:hAnsi="SimSun" w:eastAsia="SimSun" w:cs="SimSun"/>
          <w:sz w:val="17"/>
          <w:szCs w:val="17"/>
          <w:color w:val="333333"/>
        </w:rPr>
        <w:t>证会计信息真实完整等方面发挥了积极作用。</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（二）企业内部控制规范稳步实施。</w:t>
      </w:r>
    </w:p>
    <w:p>
      <w:pPr>
        <w:ind w:left="1044" w:right="1016" w:firstLine="334"/>
        <w:spacing w:before="237" w:line="327" w:lineRule="auto"/>
        <w:rPr>
          <w:rFonts w:ascii="SimSun" w:hAnsi="SimSun" w:eastAsia="SimSun" w:cs="SimSun"/>
          <w:sz w:val="17"/>
          <w:szCs w:val="17"/>
        </w:rPr>
      </w:pPr>
      <w:r>
        <w:rPr>
          <w:rFonts w:ascii="SimSun" w:hAnsi="SimSun" w:eastAsia="SimSun" w:cs="SimSun"/>
          <w:sz w:val="17"/>
          <w:szCs w:val="17"/>
          <w:color w:val="333333"/>
          <w:spacing w:val="2"/>
        </w:rPr>
        <w:t>“十三五”期间，财政部会同证监会积极推动上市公司实施企业内部控制规范，披露内部控制评价报告和审计报告，并连续五</w:t>
      </w:r>
      <w:r>
        <w:rPr>
          <w:rFonts w:ascii="SimSun" w:hAnsi="SimSun" w:eastAsia="SimSun" w:cs="SimSun"/>
          <w:sz w:val="17"/>
          <w:szCs w:val="17"/>
          <w:color w:val="333333"/>
          <w:spacing w:val="44"/>
        </w:rPr>
        <w:t> </w:t>
      </w:r>
      <w:r>
        <w:rPr>
          <w:rFonts w:ascii="SimSun" w:hAnsi="SimSun" w:eastAsia="SimSun" w:cs="SimSun"/>
          <w:sz w:val="17"/>
          <w:szCs w:val="17"/>
          <w:color w:val="333333"/>
          <w:spacing w:val="2"/>
        </w:rPr>
        <w:t>年对上市公司执行企业内部控制规范情况进行监测分析，发布相关分析报告，引起资本市场的广泛关注。2016年至2020年间，我国</w:t>
      </w:r>
      <w:r>
        <w:rPr>
          <w:rFonts w:ascii="SimSun" w:hAnsi="SimSun" w:eastAsia="SimSun" w:cs="SimSun"/>
          <w:sz w:val="17"/>
          <w:szCs w:val="17"/>
          <w:color w:val="333333"/>
          <w:spacing w:val="26"/>
        </w:rPr>
        <w:t> </w:t>
      </w:r>
      <w:r>
        <w:rPr>
          <w:rFonts w:ascii="SimSun" w:hAnsi="SimSun" w:eastAsia="SimSun" w:cs="SimSun"/>
          <w:sz w:val="17"/>
          <w:szCs w:val="17"/>
          <w:color w:val="333333"/>
          <w:spacing w:val="2"/>
        </w:rPr>
        <w:t>披露内部控制评价报告的上市公司从2900家增加至4000家，聘请会计师事务所对内部控制有效性进行审计并出具审计报告的上市公</w:t>
      </w:r>
      <w:r>
        <w:rPr>
          <w:rFonts w:ascii="SimSun" w:hAnsi="SimSun" w:eastAsia="SimSun" w:cs="SimSun"/>
          <w:sz w:val="17"/>
          <w:szCs w:val="17"/>
          <w:color w:val="333333"/>
          <w:spacing w:val="26"/>
        </w:rPr>
        <w:t> </w:t>
      </w:r>
      <w:r>
        <w:rPr>
          <w:rFonts w:ascii="SimSun" w:hAnsi="SimSun" w:eastAsia="SimSun" w:cs="SimSun"/>
          <w:sz w:val="17"/>
          <w:szCs w:val="17"/>
          <w:color w:val="333333"/>
          <w:spacing w:val="2"/>
        </w:rPr>
        <w:t>司数量从2300家增加至3000家。上市公司实施企业内部控制规范的数量逐年增加，实施效果逐渐提高。内部控制在提高上市公司信</w:t>
      </w:r>
      <w:r>
        <w:rPr>
          <w:rFonts w:ascii="SimSun" w:hAnsi="SimSun" w:eastAsia="SimSun" w:cs="SimSun"/>
          <w:sz w:val="17"/>
          <w:szCs w:val="17"/>
          <w:color w:val="333333"/>
          <w:spacing w:val="26"/>
        </w:rPr>
        <w:t> </w:t>
      </w:r>
      <w:r>
        <w:rPr>
          <w:rFonts w:ascii="SimSun" w:hAnsi="SimSun" w:eastAsia="SimSun" w:cs="SimSun"/>
          <w:sz w:val="17"/>
          <w:szCs w:val="17"/>
          <w:color w:val="333333"/>
        </w:rPr>
        <w:t>息披露质量、保护投资者合法权益等方面发挥了重要作用。</w:t>
      </w:r>
    </w:p>
    <w:p>
      <w:pPr>
        <w:ind w:left="1046" w:right="1016" w:firstLine="344"/>
        <w:spacing w:before="108" w:line="327" w:lineRule="auto"/>
        <w:rPr>
          <w:rFonts w:ascii="SimSun" w:hAnsi="SimSun" w:eastAsia="SimSun" w:cs="SimSun"/>
          <w:sz w:val="17"/>
          <w:szCs w:val="17"/>
        </w:rPr>
      </w:pPr>
      <w:r>
        <w:rPr>
          <w:rFonts w:ascii="SimSun" w:hAnsi="SimSun" w:eastAsia="SimSun" w:cs="SimSun"/>
          <w:sz w:val="17"/>
          <w:szCs w:val="17"/>
          <w:color w:val="333333"/>
          <w:spacing w:val="2"/>
        </w:rPr>
        <w:t>此外，财政部还会同国务院国资委等部门，积极推动中央企业实施企业内部控制规范，完善内部控制体系。截至2020年底，全</w:t>
      </w:r>
      <w:r>
        <w:rPr>
          <w:rFonts w:ascii="SimSun" w:hAnsi="SimSun" w:eastAsia="SimSun" w:cs="SimSun"/>
          <w:sz w:val="17"/>
          <w:szCs w:val="17"/>
          <w:color w:val="333333"/>
          <w:spacing w:val="28"/>
        </w:rPr>
        <w:t> </w:t>
      </w:r>
      <w:r>
        <w:rPr>
          <w:rFonts w:ascii="SimSun" w:hAnsi="SimSun" w:eastAsia="SimSun" w:cs="SimSun"/>
          <w:sz w:val="17"/>
          <w:szCs w:val="17"/>
          <w:color w:val="333333"/>
          <w:spacing w:val="1"/>
        </w:rPr>
        <w:t>部中央企业基本建立起规范、完善的内部控制体系，提高了国有企业治理水平，增强了国有经济的抗风险能力。</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（三）小企业内部控制规范初步建立。</w:t>
      </w:r>
    </w:p>
    <w:p>
      <w:pPr>
        <w:ind w:left="1044" w:right="1016" w:firstLine="350"/>
        <w:spacing w:before="237" w:line="327" w:lineRule="auto"/>
        <w:rPr>
          <w:rFonts w:ascii="SimSun" w:hAnsi="SimSun" w:eastAsia="SimSun" w:cs="SimSun"/>
          <w:sz w:val="17"/>
          <w:szCs w:val="17"/>
        </w:rPr>
      </w:pPr>
      <w:r>
        <w:rPr>
          <w:rFonts w:ascii="SimSun" w:hAnsi="SimSun" w:eastAsia="SimSun" w:cs="SimSun"/>
          <w:sz w:val="17"/>
          <w:szCs w:val="17"/>
          <w:color w:val="333333"/>
          <w:spacing w:val="2"/>
        </w:rPr>
        <w:t>为提高小企业经营管理水平和风险防范能力，2017年7月，财政部印发了《小企业内部控制规范（试行）</w:t>
      </w:r>
      <w:r>
        <w:rPr>
          <w:rFonts w:ascii="SimSun" w:hAnsi="SimSun" w:eastAsia="SimSun" w:cs="SimSun"/>
          <w:sz w:val="17"/>
          <w:szCs w:val="17"/>
          <w:color w:val="333333"/>
          <w:spacing w:val="23"/>
          <w:w w:val="101"/>
        </w:rPr>
        <w:t> </w:t>
      </w:r>
      <w:r>
        <w:rPr>
          <w:rFonts w:ascii="SimSun" w:hAnsi="SimSun" w:eastAsia="SimSun" w:cs="SimSun"/>
          <w:sz w:val="17"/>
          <w:szCs w:val="17"/>
          <w:color w:val="333333"/>
          <w:spacing w:val="2"/>
        </w:rPr>
        <w:t>》，紧扣我国小企业</w:t>
      </w:r>
      <w:r>
        <w:rPr>
          <w:rFonts w:ascii="SimSun" w:hAnsi="SimSun" w:eastAsia="SimSun" w:cs="SimSun"/>
          <w:sz w:val="17"/>
          <w:szCs w:val="17"/>
          <w:color w:val="333333"/>
        </w:rPr>
        <w:t> </w:t>
      </w:r>
      <w:r>
        <w:rPr>
          <w:rFonts w:ascii="SimSun" w:hAnsi="SimSun" w:eastAsia="SimSun" w:cs="SimSun"/>
          <w:sz w:val="17"/>
          <w:szCs w:val="17"/>
          <w:color w:val="333333"/>
          <w:spacing w:val="2"/>
        </w:rPr>
        <w:t>面临的主要风险和管理困难，引导小企业加强内部控制建设，推动广大小企业的规范健康发展。同时，财政部通过宣传培训、编写</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上报信息、刊发解读性材料等方式，多措并举指导小企业建立健全内部控制体系，助力小企业经营管理者逐步提升内部控制意识和</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3"/>
        </w:rPr>
        <w:t>风险防范能力。</w:t>
      </w:r>
    </w:p>
    <w:p>
      <w:pPr>
        <w:ind w:firstLine="1391"/>
        <w:spacing w:before="108"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48"/>
        </w:rPr>
        <w:t> </w:t>
      </w:r>
      <w:r>
        <w:rPr>
          <w:rFonts w:ascii="SimSun" w:hAnsi="SimSun" w:eastAsia="SimSun" w:cs="SimSun"/>
          <w:sz w:val="17"/>
          <w:szCs w:val="17"/>
          <w:color w:val="333333"/>
          <w:spacing w:val="11"/>
        </w:rPr>
        <w:t>“十四五”时期内部控制规范体系建设与实施面临的形势和挑战</w:t>
      </w:r>
    </w:p>
    <w:p>
      <w:pPr>
        <w:ind w:left="1052" w:right="1016" w:firstLine="353"/>
        <w:spacing w:before="237" w:line="327" w:lineRule="auto"/>
        <w:rPr>
          <w:rFonts w:ascii="SimSun" w:hAnsi="SimSun" w:eastAsia="SimSun" w:cs="SimSun"/>
          <w:sz w:val="17"/>
          <w:szCs w:val="17"/>
        </w:rPr>
      </w:pPr>
      <w:r>
        <w:rPr>
          <w:rFonts w:ascii="SimSun" w:hAnsi="SimSun" w:eastAsia="SimSun" w:cs="SimSun"/>
          <w:sz w:val="17"/>
          <w:szCs w:val="17"/>
          <w:color w:val="333333"/>
          <w:spacing w:val="5"/>
        </w:rPr>
        <w:t>随着全面依法治国深入推进和经济社会蓬勃发展，企业和行政事业单位内部控制规范体系建设与实施工作面临诸多机遇和挑</w:t>
      </w:r>
      <w:r>
        <w:rPr>
          <w:rFonts w:ascii="SimSun" w:hAnsi="SimSun" w:eastAsia="SimSun" w:cs="SimSun"/>
          <w:sz w:val="17"/>
          <w:szCs w:val="17"/>
          <w:color w:val="333333"/>
          <w:spacing w:val="27"/>
        </w:rPr>
        <w:t> </w:t>
      </w:r>
      <w:r>
        <w:rPr>
          <w:rFonts w:ascii="SimSun" w:hAnsi="SimSun" w:eastAsia="SimSun" w:cs="SimSun"/>
          <w:sz w:val="17"/>
          <w:szCs w:val="17"/>
          <w:color w:val="333333"/>
          <w:spacing w:val="-10"/>
        </w:rPr>
        <w:t>战。</w:t>
      </w:r>
    </w:p>
    <w:p>
      <w:pPr>
        <w:ind w:firstLine="539"/>
        <w:spacing w:before="127" w:line="218" w:lineRule="exact"/>
        <w:rPr>
          <w:rFonts w:ascii="Arial" w:hAnsi="Arial" w:eastAsia="Arial" w:cs="Arial"/>
          <w:sz w:val="16"/>
          <w:szCs w:val="16"/>
        </w:rPr>
      </w:pPr>
      <w:r>
        <w:rPr>
          <w:rFonts w:ascii="Arial" w:hAnsi="Arial" w:eastAsia="Arial" w:cs="Arial"/>
          <w:sz w:val="16"/>
          <w:szCs w:val="16"/>
          <w:spacing w:val="-1"/>
        </w:rPr>
        <w:t>kjs.mof.gov.cn/zhengcejiedu/202203/t20220310_3794174.htm</w:t>
      </w:r>
      <w:r>
        <w:rPr>
          <w:rFonts w:ascii="Arial" w:hAnsi="Arial" w:eastAsia="Arial" w:cs="Arial"/>
          <w:sz w:val="16"/>
          <w:szCs w:val="16"/>
        </w:rPr>
        <w:t>                                                                                                                                            </w:t>
      </w:r>
      <w:r>
        <w:rPr>
          <w:rFonts w:ascii="Arial" w:hAnsi="Arial" w:eastAsia="Arial" w:cs="Arial"/>
          <w:sz w:val="16"/>
          <w:szCs w:val="16"/>
          <w:spacing w:val="-1"/>
        </w:rPr>
        <w:t>1/4</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Arial" w:hAnsi="Arial" w:eastAsia="Arial" w:cs="Arial"/>
          <w:sz w:val="16"/>
          <w:szCs w:val="16"/>
        </w:rPr>
      </w:pP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扎实推进企业和行政事业单位内部控制建设为推进国家治理体系和治理能力现代化提供重要支撑</w:t>
      </w:r>
      <w:r>
        <w:rPr>
          <w:rFonts w:ascii="Arial" w:hAnsi="Arial" w:eastAsia="Arial" w:cs="Arial"/>
          <w:sz w:val="16"/>
          <w:szCs w:val="16"/>
          <w:spacing w:val="-2"/>
        </w:rPr>
        <w:t>——</w:t>
      </w:r>
      <w:r>
        <w:rPr>
          <w:rFonts w:ascii="Arial" w:hAnsi="Arial" w:eastAsia="Arial" w:cs="Arial"/>
          <w:sz w:val="16"/>
          <w:szCs w:val="16"/>
          <w:spacing w:val="35"/>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w:t>
      </w:r>
      <w:r>
        <w:rPr>
          <w:rFonts w:ascii="Microsoft YaHei" w:hAnsi="Microsoft YaHei" w:eastAsia="Microsoft YaHei" w:cs="Microsoft YaHei"/>
          <w:sz w:val="16"/>
          <w:szCs w:val="16"/>
          <w:spacing w:val="-29"/>
        </w:rPr>
        <w:t> </w:t>
      </w:r>
      <w:r>
        <w:rPr>
          <w:rFonts w:ascii="Arial" w:hAnsi="Arial" w:eastAsia="Arial" w:cs="Arial"/>
          <w:sz w:val="16"/>
          <w:szCs w:val="16"/>
          <w:spacing w:val="-2"/>
        </w:rPr>
        <w:t>…</w:t>
      </w:r>
    </w:p>
    <w:p>
      <w:pPr>
        <w:ind w:firstLine="1394"/>
        <w:spacing w:before="135" w:line="187" w:lineRule="auto"/>
        <w:rPr>
          <w:rFonts w:ascii="SimSun" w:hAnsi="SimSun" w:eastAsia="SimSun" w:cs="SimSun"/>
          <w:sz w:val="17"/>
          <w:szCs w:val="17"/>
        </w:rPr>
      </w:pPr>
      <w:r>
        <w:rPr>
          <w:rFonts w:ascii="SimSun" w:hAnsi="SimSun" w:eastAsia="SimSun" w:cs="SimSun"/>
          <w:sz w:val="17"/>
          <w:szCs w:val="17"/>
          <w:color w:val="333333"/>
        </w:rPr>
        <w:t>（一）全面依法治国要求持续深入开展内部控制规范体系建设与实施工作。</w:t>
      </w:r>
    </w:p>
    <w:p>
      <w:pPr>
        <w:ind w:left="1043"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党的十九大把坚持全面依法治国作为新时代坚持和发展中国特色社会主义的基本方略之一。党的十八届四中全会对依法治国提</w:t>
      </w:r>
      <w:r>
        <w:rPr>
          <w:rFonts w:ascii="SimSun" w:hAnsi="SimSun" w:eastAsia="SimSun" w:cs="SimSun"/>
          <w:sz w:val="17"/>
          <w:szCs w:val="17"/>
          <w:color w:val="333333"/>
          <w:spacing w:val="32"/>
        </w:rPr>
        <w:t> </w:t>
      </w:r>
      <w:r>
        <w:rPr>
          <w:rFonts w:ascii="SimSun" w:hAnsi="SimSun" w:eastAsia="SimSun" w:cs="SimSun"/>
          <w:sz w:val="17"/>
          <w:szCs w:val="17"/>
          <w:color w:val="333333"/>
          <w:spacing w:val="2"/>
        </w:rPr>
        <w:t>出了全方位的论述，明确提出加强对内部权力的制约,</w:t>
      </w:r>
      <w:r>
        <w:rPr>
          <w:rFonts w:ascii="SimSun" w:hAnsi="SimSun" w:eastAsia="SimSun" w:cs="SimSun"/>
          <w:sz w:val="17"/>
          <w:szCs w:val="17"/>
          <w:color w:val="333333"/>
          <w:spacing w:val="35"/>
        </w:rPr>
        <w:t> </w:t>
      </w:r>
      <w:r>
        <w:rPr>
          <w:rFonts w:ascii="SimSun" w:hAnsi="SimSun" w:eastAsia="SimSun" w:cs="SimSun"/>
          <w:sz w:val="17"/>
          <w:szCs w:val="17"/>
          <w:color w:val="333333"/>
          <w:spacing w:val="2"/>
        </w:rPr>
        <w:t>要求“对财政资金分配使用、国有资产监管、政府投资、政府采购、公共资</w:t>
      </w:r>
      <w:r>
        <w:rPr>
          <w:rFonts w:ascii="SimSun" w:hAnsi="SimSun" w:eastAsia="SimSun" w:cs="SimSun"/>
          <w:sz w:val="17"/>
          <w:szCs w:val="17"/>
          <w:color w:val="333333"/>
        </w:rPr>
        <w:t> </w:t>
      </w:r>
      <w:r>
        <w:rPr>
          <w:rFonts w:ascii="SimSun" w:hAnsi="SimSun" w:eastAsia="SimSun" w:cs="SimSun"/>
          <w:sz w:val="17"/>
          <w:szCs w:val="17"/>
          <w:color w:val="333333"/>
          <w:spacing w:val="2"/>
        </w:rPr>
        <w:t>源转让、公共工程建设等权力集中的部门和岗位实行分事行权、分岗设权、分级授权，定期轮岗，强化内部流程控制，防止权力滥</w:t>
      </w:r>
      <w:r>
        <w:rPr>
          <w:rFonts w:ascii="SimSun" w:hAnsi="SimSun" w:eastAsia="SimSun" w:cs="SimSun"/>
          <w:sz w:val="17"/>
          <w:szCs w:val="17"/>
          <w:color w:val="333333"/>
          <w:spacing w:val="35"/>
        </w:rPr>
        <w:t> </w:t>
      </w:r>
      <w:r>
        <w:rPr>
          <w:rFonts w:ascii="SimSun" w:hAnsi="SimSun" w:eastAsia="SimSun" w:cs="SimSun"/>
          <w:sz w:val="17"/>
          <w:szCs w:val="17"/>
          <w:color w:val="333333"/>
          <w:spacing w:val="2"/>
        </w:rPr>
        <w:t>用”</w:t>
      </w:r>
      <w:r>
        <w:rPr>
          <w:rFonts w:ascii="SimSun" w:hAnsi="SimSun" w:eastAsia="SimSun" w:cs="SimSun"/>
          <w:sz w:val="17"/>
          <w:szCs w:val="17"/>
          <w:color w:val="333333"/>
          <w:spacing w:val="-50"/>
        </w:rPr>
        <w:t> </w:t>
      </w:r>
      <w:r>
        <w:rPr>
          <w:rFonts w:ascii="SimSun" w:hAnsi="SimSun" w:eastAsia="SimSun" w:cs="SimSun"/>
          <w:sz w:val="17"/>
          <w:szCs w:val="17"/>
          <w:color w:val="333333"/>
          <w:spacing w:val="2"/>
        </w:rPr>
        <w:t>。党的十九届四中全会进一步提出“健全分事行权、分岗设权、分级授权、定期轮岗制度，明晰权力边界，规范工作流程，强</w:t>
      </w:r>
      <w:r>
        <w:rPr>
          <w:rFonts w:ascii="SimSun" w:hAnsi="SimSun" w:eastAsia="SimSun" w:cs="SimSun"/>
          <w:sz w:val="17"/>
          <w:szCs w:val="17"/>
          <w:color w:val="333333"/>
        </w:rPr>
        <w:t> </w:t>
      </w:r>
      <w:r>
        <w:rPr>
          <w:rFonts w:ascii="SimSun" w:hAnsi="SimSun" w:eastAsia="SimSun" w:cs="SimSun"/>
          <w:sz w:val="17"/>
          <w:szCs w:val="17"/>
          <w:color w:val="333333"/>
          <w:spacing w:val="5"/>
        </w:rPr>
        <w:t>化权力制约”</w:t>
      </w:r>
      <w:r>
        <w:rPr>
          <w:rFonts w:ascii="SimSun" w:hAnsi="SimSun" w:eastAsia="SimSun" w:cs="SimSun"/>
          <w:sz w:val="17"/>
          <w:szCs w:val="17"/>
          <w:color w:val="333333"/>
          <w:spacing w:val="-46"/>
        </w:rPr>
        <w:t> </w:t>
      </w:r>
      <w:r>
        <w:rPr>
          <w:rFonts w:ascii="SimSun" w:hAnsi="SimSun" w:eastAsia="SimSun" w:cs="SimSun"/>
          <w:sz w:val="17"/>
          <w:szCs w:val="17"/>
          <w:color w:val="333333"/>
          <w:spacing w:val="5"/>
        </w:rPr>
        <w:t>。这就要求我们持续完善内部控制规范体系，进一步推动各单位强化内部控制，形成科学有效的权力制约和协调机</w:t>
      </w:r>
      <w:r>
        <w:rPr>
          <w:rFonts w:ascii="SimSun" w:hAnsi="SimSun" w:eastAsia="SimSun" w:cs="SimSun"/>
          <w:sz w:val="17"/>
          <w:szCs w:val="17"/>
          <w:color w:val="333333"/>
        </w:rPr>
        <w:t> </w:t>
      </w:r>
      <w:r>
        <w:rPr>
          <w:rFonts w:ascii="SimSun" w:hAnsi="SimSun" w:eastAsia="SimSun" w:cs="SimSun"/>
          <w:sz w:val="17"/>
          <w:szCs w:val="17"/>
          <w:color w:val="333333"/>
          <w:spacing w:val="1"/>
        </w:rPr>
        <w:t>制，把权力关进制度的笼子里，用制度管权管事管人，确保各单位按照法定的权限和规定的程序行使权力。</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（二）强化财会监督要求充分发挥内部控制的全过程监督作用。</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十九届中央纪委四次全会首次将财会监督纳入党和国家监督体系，并对财会监督与其他形式的监督有机贯通、相互协调提出明</w:t>
      </w:r>
      <w:r>
        <w:rPr>
          <w:rFonts w:ascii="SimSun" w:hAnsi="SimSun" w:eastAsia="SimSun" w:cs="SimSun"/>
          <w:sz w:val="17"/>
          <w:szCs w:val="17"/>
          <w:color w:val="333333"/>
          <w:spacing w:val="32"/>
        </w:rPr>
        <w:t> </w:t>
      </w:r>
      <w:r>
        <w:rPr>
          <w:rFonts w:ascii="SimSun" w:hAnsi="SimSun" w:eastAsia="SimSun" w:cs="SimSun"/>
          <w:sz w:val="17"/>
          <w:szCs w:val="17"/>
          <w:color w:val="333333"/>
          <w:spacing w:val="2"/>
        </w:rPr>
        <w:t>确要求。内部控制作为财会监督的重要手段，将制衡机制、授权审批等控制措施有效嵌入单位日常管理活动之中，可以实现“控制</w:t>
      </w:r>
      <w:r>
        <w:rPr>
          <w:rFonts w:ascii="SimSun" w:hAnsi="SimSun" w:eastAsia="SimSun" w:cs="SimSun"/>
          <w:sz w:val="17"/>
          <w:szCs w:val="17"/>
          <w:color w:val="333333"/>
          <w:spacing w:val="34"/>
        </w:rPr>
        <w:t> </w:t>
      </w:r>
      <w:r>
        <w:rPr>
          <w:rFonts w:ascii="SimSun" w:hAnsi="SimSun" w:eastAsia="SimSun" w:cs="SimSun"/>
          <w:sz w:val="17"/>
          <w:szCs w:val="17"/>
          <w:color w:val="333333"/>
          <w:spacing w:val="2"/>
        </w:rPr>
        <w:t>关口”前移，有助于发现问题、纠正偏差，具有事前、事中和事后全过程监督的特点。这就要求我们充分发挥内部控制的全流程监</w:t>
      </w:r>
      <w:r>
        <w:rPr>
          <w:rFonts w:ascii="SimSun" w:hAnsi="SimSun" w:eastAsia="SimSun" w:cs="SimSun"/>
          <w:sz w:val="17"/>
          <w:szCs w:val="17"/>
          <w:color w:val="333333"/>
          <w:spacing w:val="34"/>
        </w:rPr>
        <w:t> </w:t>
      </w:r>
      <w:r>
        <w:rPr>
          <w:rFonts w:ascii="SimSun" w:hAnsi="SimSun" w:eastAsia="SimSun" w:cs="SimSun"/>
          <w:sz w:val="17"/>
          <w:szCs w:val="17"/>
          <w:color w:val="333333"/>
          <w:spacing w:val="2"/>
        </w:rPr>
        <w:t>督作用，联合证监会、国资委和各行业主管部门，建立权威高效的内部控制规范执行机制，加强对上市公司、国有企业和各级行政</w:t>
      </w:r>
      <w:r>
        <w:rPr>
          <w:rFonts w:ascii="SimSun" w:hAnsi="SimSun" w:eastAsia="SimSun" w:cs="SimSun"/>
          <w:sz w:val="17"/>
          <w:szCs w:val="17"/>
          <w:color w:val="333333"/>
          <w:spacing w:val="34"/>
        </w:rPr>
        <w:t> </w:t>
      </w:r>
      <w:r>
        <w:rPr>
          <w:rFonts w:ascii="SimSun" w:hAnsi="SimSun" w:eastAsia="SimSun" w:cs="SimSun"/>
          <w:sz w:val="17"/>
          <w:szCs w:val="17"/>
          <w:color w:val="333333"/>
          <w:spacing w:val="1"/>
        </w:rPr>
        <w:t>事业单位建立健全并有效实施内部控制规范的评价和监督，逐步提高内部控制规范的实施效果。</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（三）会计职能的拓展升级对内部控制规范体系建设与实施提出更高要求。</w:t>
      </w:r>
    </w:p>
    <w:p>
      <w:pPr>
        <w:ind w:left="1043"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长期以来，会计工作侧重于会计核算，主要是为外部相关单位和人员提供并解释历史会计信息，考虑外部投资者、社会公众和</w:t>
      </w:r>
      <w:r>
        <w:rPr>
          <w:rFonts w:ascii="SimSun" w:hAnsi="SimSun" w:eastAsia="SimSun" w:cs="SimSun"/>
          <w:sz w:val="17"/>
          <w:szCs w:val="17"/>
          <w:color w:val="333333"/>
          <w:spacing w:val="32"/>
        </w:rPr>
        <w:t> </w:t>
      </w:r>
      <w:r>
        <w:rPr>
          <w:rFonts w:ascii="SimSun" w:hAnsi="SimSun" w:eastAsia="SimSun" w:cs="SimSun"/>
          <w:sz w:val="17"/>
          <w:szCs w:val="17"/>
          <w:color w:val="333333"/>
          <w:spacing w:val="2"/>
        </w:rPr>
        <w:t>外部审计较多，而利用会计信息参与内部经营管理决策、加强风险管控等较少。随着经济转型升级和创新发展，会计工作的职能职</w:t>
      </w:r>
      <w:r>
        <w:rPr>
          <w:rFonts w:ascii="SimSun" w:hAnsi="SimSun" w:eastAsia="SimSun" w:cs="SimSun"/>
          <w:sz w:val="17"/>
          <w:szCs w:val="17"/>
          <w:color w:val="333333"/>
          <w:spacing w:val="35"/>
        </w:rPr>
        <w:t> </w:t>
      </w:r>
      <w:r>
        <w:rPr>
          <w:rFonts w:ascii="SimSun" w:hAnsi="SimSun" w:eastAsia="SimSun" w:cs="SimSun"/>
          <w:sz w:val="17"/>
          <w:szCs w:val="17"/>
          <w:color w:val="333333"/>
          <w:spacing w:val="2"/>
        </w:rPr>
        <w:t>责发生着重大变化，会计的管理职能作用有待拓展升级。这就要求我们进一步强化内部控制规范的建设与实施，充分发挥内部控制</w:t>
      </w:r>
      <w:r>
        <w:rPr>
          <w:rFonts w:ascii="SimSun" w:hAnsi="SimSun" w:eastAsia="SimSun" w:cs="SimSun"/>
          <w:sz w:val="17"/>
          <w:szCs w:val="17"/>
          <w:color w:val="333333"/>
          <w:spacing w:val="35"/>
        </w:rPr>
        <w:t> </w:t>
      </w:r>
      <w:r>
        <w:rPr>
          <w:rFonts w:ascii="SimSun" w:hAnsi="SimSun" w:eastAsia="SimSun" w:cs="SimSun"/>
          <w:sz w:val="17"/>
          <w:szCs w:val="17"/>
          <w:color w:val="333333"/>
          <w:spacing w:val="1"/>
        </w:rPr>
        <w:t>在辅助管理决策、风险管控等方面的职能作用，助力会计工作的转型升级。</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（四）经济社会的不断发展对完善内部控制规范体系提出迫切要求。</w:t>
      </w:r>
    </w:p>
    <w:p>
      <w:pPr>
        <w:ind w:left="1044" w:right="1016" w:firstLine="346"/>
        <w:spacing w:before="238" w:line="327" w:lineRule="auto"/>
        <w:rPr>
          <w:rFonts w:ascii="SimSun" w:hAnsi="SimSun" w:eastAsia="SimSun" w:cs="SimSun"/>
          <w:sz w:val="17"/>
          <w:szCs w:val="17"/>
        </w:rPr>
      </w:pPr>
      <w:r>
        <w:rPr>
          <w:rFonts w:ascii="SimSun" w:hAnsi="SimSun" w:eastAsia="SimSun" w:cs="SimSun"/>
          <w:sz w:val="17"/>
          <w:szCs w:val="17"/>
          <w:color w:val="333333"/>
          <w:spacing w:val="2"/>
        </w:rPr>
        <w:t>伴随着经济社会蓬勃发展，各种新技术、新业态、新模式不断涌现，对内部控制提出了新的挑战。相比之下，现行的内部控制</w:t>
      </w:r>
      <w:r>
        <w:rPr>
          <w:rFonts w:ascii="SimSun" w:hAnsi="SimSun" w:eastAsia="SimSun" w:cs="SimSun"/>
          <w:sz w:val="17"/>
          <w:szCs w:val="17"/>
          <w:color w:val="333333"/>
          <w:spacing w:val="31"/>
        </w:rPr>
        <w:t> </w:t>
      </w:r>
      <w:r>
        <w:rPr>
          <w:rFonts w:ascii="SimSun" w:hAnsi="SimSun" w:eastAsia="SimSun" w:cs="SimSun"/>
          <w:sz w:val="17"/>
          <w:szCs w:val="17"/>
          <w:color w:val="333333"/>
          <w:spacing w:val="2"/>
        </w:rPr>
        <w:t>规范对新商业模式、新交易类型的内部控制支撑不足，对大数据、人工智能、区块链等新一代信息技术环境下的内部控制应对不及</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时，内部控制规范服务经济社会发展的能力亟待增强。这就要求我们持续健全完善内部控制规范体系，一方面完善企业内部控制规</w:t>
      </w:r>
      <w:r>
        <w:rPr>
          <w:rFonts w:ascii="SimSun" w:hAnsi="SimSun" w:eastAsia="SimSun" w:cs="SimSun"/>
          <w:sz w:val="17"/>
          <w:szCs w:val="17"/>
          <w:color w:val="333333"/>
          <w:spacing w:val="33"/>
          <w:w w:val="101"/>
        </w:rPr>
        <w:t> </w:t>
      </w:r>
      <w:r>
        <w:rPr>
          <w:rFonts w:ascii="SimSun" w:hAnsi="SimSun" w:eastAsia="SimSun" w:cs="SimSun"/>
          <w:sz w:val="17"/>
          <w:szCs w:val="17"/>
          <w:color w:val="333333"/>
        </w:rPr>
        <w:t>范，增加与新技术、新业务相关的内部控制指引；</w:t>
      </w:r>
      <w:r>
        <w:rPr>
          <w:rFonts w:ascii="SimSun" w:hAnsi="SimSun" w:eastAsia="SimSun" w:cs="SimSun"/>
          <w:sz w:val="17"/>
          <w:szCs w:val="17"/>
          <w:color w:val="333333"/>
          <w:spacing w:val="62"/>
          <w:w w:val="101"/>
        </w:rPr>
        <w:t> </w:t>
      </w:r>
      <w:r>
        <w:rPr>
          <w:rFonts w:ascii="SimSun" w:hAnsi="SimSun" w:eastAsia="SimSun" w:cs="SimSun"/>
          <w:sz w:val="17"/>
          <w:szCs w:val="17"/>
          <w:color w:val="333333"/>
        </w:rPr>
        <w:t>另一方面，健全行政事业单位内部控制规范，更好地发挥内部控制在服务财政中</w:t>
      </w:r>
      <w:r>
        <w:rPr>
          <w:rFonts w:ascii="SimSun" w:hAnsi="SimSun" w:eastAsia="SimSun" w:cs="SimSun"/>
          <w:sz w:val="17"/>
          <w:szCs w:val="17"/>
          <w:color w:val="333333"/>
        </w:rPr>
        <w:t> </w:t>
      </w:r>
      <w:r>
        <w:rPr>
          <w:rFonts w:ascii="SimSun" w:hAnsi="SimSun" w:eastAsia="SimSun" w:cs="SimSun"/>
          <w:sz w:val="17"/>
          <w:szCs w:val="17"/>
          <w:color w:val="333333"/>
          <w:spacing w:val="1"/>
        </w:rPr>
        <w:t>心工作、推进国家治理体系和治理能力现代化中的重要支撑作用。</w:t>
      </w:r>
    </w:p>
    <w:p>
      <w:pPr>
        <w:ind w:firstLine="1388"/>
        <w:spacing w:before="108"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43"/>
        </w:rPr>
        <w:t> </w:t>
      </w:r>
      <w:r>
        <w:rPr>
          <w:rFonts w:ascii="SimSun" w:hAnsi="SimSun" w:eastAsia="SimSun" w:cs="SimSun"/>
          <w:sz w:val="17"/>
          <w:szCs w:val="17"/>
          <w:color w:val="333333"/>
          <w:spacing w:val="11"/>
        </w:rPr>
        <w:t>“十四五”时期内部控制规范体系建设与实施工作重点及具体措施</w:t>
      </w:r>
    </w:p>
    <w:p>
      <w:pPr>
        <w:ind w:left="1042" w:right="1016" w:firstLine="335"/>
        <w:spacing w:before="237" w:line="327" w:lineRule="auto"/>
        <w:rPr>
          <w:rFonts w:ascii="SimSun" w:hAnsi="SimSun" w:eastAsia="SimSun" w:cs="SimSun"/>
          <w:sz w:val="17"/>
          <w:szCs w:val="17"/>
        </w:rPr>
      </w:pPr>
      <w:r>
        <w:rPr>
          <w:rFonts w:ascii="SimSun" w:hAnsi="SimSun" w:eastAsia="SimSun" w:cs="SimSun"/>
          <w:sz w:val="17"/>
          <w:szCs w:val="17"/>
          <w:color w:val="333333"/>
          <w:spacing w:val="2"/>
        </w:rPr>
        <w:t>“十四五”时期是我国由全面建成小康社会向基本实现社会主义现代化迈进的关键时期，我国内部控制规范体系建设与实施工</w:t>
      </w:r>
      <w:r>
        <w:rPr>
          <w:rFonts w:ascii="SimSun" w:hAnsi="SimSun" w:eastAsia="SimSun" w:cs="SimSun"/>
          <w:sz w:val="17"/>
          <w:szCs w:val="17"/>
          <w:color w:val="333333"/>
          <w:spacing w:val="44"/>
        </w:rPr>
        <w:t> </w:t>
      </w:r>
      <w:r>
        <w:rPr>
          <w:rFonts w:ascii="SimSun" w:hAnsi="SimSun" w:eastAsia="SimSun" w:cs="SimSun"/>
          <w:sz w:val="17"/>
          <w:szCs w:val="17"/>
          <w:color w:val="333333"/>
          <w:spacing w:val="1"/>
        </w:rPr>
        <w:t>作面临着新的更高要求。</w:t>
      </w:r>
      <w:r>
        <w:rPr>
          <w:rFonts w:ascii="SimSun" w:hAnsi="SimSun" w:eastAsia="SimSun" w:cs="SimSun"/>
          <w:sz w:val="17"/>
          <w:szCs w:val="17"/>
          <w:color w:val="333333"/>
          <w:spacing w:val="-76"/>
        </w:rPr>
        <w:t> </w:t>
      </w:r>
      <w:r>
        <w:rPr>
          <w:rFonts w:ascii="SimSun" w:hAnsi="SimSun" w:eastAsia="SimSun" w:cs="SimSun"/>
          <w:sz w:val="17"/>
          <w:szCs w:val="17"/>
          <w:color w:val="333333"/>
          <w:spacing w:val="1"/>
        </w:rPr>
        <w:t>《规划纲要》</w:t>
      </w:r>
      <w:r>
        <w:rPr>
          <w:rFonts w:ascii="SimSun" w:hAnsi="SimSun" w:eastAsia="SimSun" w:cs="SimSun"/>
          <w:sz w:val="17"/>
          <w:szCs w:val="17"/>
          <w:color w:val="333333"/>
          <w:spacing w:val="-1"/>
        </w:rPr>
        <w:t> </w:t>
      </w:r>
      <w:r>
        <w:rPr>
          <w:rFonts w:ascii="SimSun" w:hAnsi="SimSun" w:eastAsia="SimSun" w:cs="SimSun"/>
          <w:sz w:val="17"/>
          <w:szCs w:val="17"/>
          <w:color w:val="333333"/>
          <w:spacing w:val="1"/>
        </w:rPr>
        <w:t>在总结成绩、分析形势的基础上，从完善内部控制规范体系、加强内部控制规范贯彻实施、</w:t>
      </w:r>
      <w:r>
        <w:rPr>
          <w:rFonts w:ascii="SimSun" w:hAnsi="SimSun" w:eastAsia="SimSun" w:cs="SimSun"/>
          <w:sz w:val="17"/>
          <w:szCs w:val="17"/>
          <w:color w:val="333333"/>
        </w:rPr>
        <w:t> </w:t>
      </w:r>
      <w:r>
        <w:rPr>
          <w:rFonts w:ascii="SimSun" w:hAnsi="SimSun" w:eastAsia="SimSun" w:cs="SimSun"/>
          <w:sz w:val="17"/>
          <w:szCs w:val="17"/>
          <w:color w:val="333333"/>
          <w:spacing w:val="2"/>
        </w:rPr>
        <w:t>强化各单位内部控制责任等方面，提出了“十四五”时期内部控制规范体系建设与实施工作的具体举措。</w:t>
      </w:r>
      <w:r>
        <w:rPr>
          <w:rFonts w:ascii="SimSun" w:hAnsi="SimSun" w:eastAsia="SimSun" w:cs="SimSun"/>
          <w:sz w:val="17"/>
          <w:szCs w:val="17"/>
          <w:color w:val="333333"/>
          <w:spacing w:val="-49"/>
        </w:rPr>
        <w:t> </w:t>
      </w:r>
      <w:r>
        <w:rPr>
          <w:rFonts w:ascii="SimSun" w:hAnsi="SimSun" w:eastAsia="SimSun" w:cs="SimSun"/>
          <w:sz w:val="17"/>
          <w:szCs w:val="17"/>
          <w:color w:val="333333"/>
          <w:spacing w:val="2"/>
        </w:rPr>
        <w:t>“十四五”期间，财政部</w:t>
      </w:r>
      <w:r>
        <w:rPr>
          <w:rFonts w:ascii="SimSun" w:hAnsi="SimSun" w:eastAsia="SimSun" w:cs="SimSun"/>
          <w:sz w:val="17"/>
          <w:szCs w:val="17"/>
          <w:color w:val="333333"/>
        </w:rPr>
        <w:t> </w:t>
      </w:r>
      <w:r>
        <w:rPr>
          <w:rFonts w:ascii="SimSun" w:hAnsi="SimSun" w:eastAsia="SimSun" w:cs="SimSun"/>
          <w:sz w:val="17"/>
          <w:szCs w:val="17"/>
          <w:color w:val="333333"/>
          <w:spacing w:val="2"/>
        </w:rPr>
        <w:t>将围绕服务推进国家治理体系和治理能力现代化，结合国内外内部控制理论与实践界的不断发展，持续增强我国内部控制规范体系</w:t>
      </w:r>
      <w:r>
        <w:rPr>
          <w:rFonts w:ascii="SimSun" w:hAnsi="SimSun" w:eastAsia="SimSun" w:cs="SimSun"/>
          <w:sz w:val="17"/>
          <w:szCs w:val="17"/>
          <w:color w:val="333333"/>
          <w:spacing w:val="36"/>
        </w:rPr>
        <w:t> </w:t>
      </w:r>
      <w:r>
        <w:rPr>
          <w:rFonts w:ascii="SimSun" w:hAnsi="SimSun" w:eastAsia="SimSun" w:cs="SimSun"/>
          <w:sz w:val="17"/>
          <w:szCs w:val="17"/>
          <w:color w:val="333333"/>
          <w:spacing w:val="1"/>
        </w:rPr>
        <w:t>的权威性和指导性，推动我国内部控制规范体系建设与实施工作取得新的更大发展。</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（一）加强内部控制相关法治建设。</w:t>
      </w:r>
    </w:p>
    <w:p>
      <w:pPr>
        <w:ind w:left="1044" w:right="1016" w:firstLine="346"/>
        <w:spacing w:before="237" w:line="327" w:lineRule="auto"/>
        <w:rPr>
          <w:rFonts w:ascii="SimSun" w:hAnsi="SimSun" w:eastAsia="SimSun" w:cs="SimSun"/>
          <w:sz w:val="17"/>
          <w:szCs w:val="17"/>
        </w:rPr>
      </w:pPr>
      <w:r>
        <w:rPr>
          <w:rFonts w:ascii="SimSun" w:hAnsi="SimSun" w:eastAsia="SimSun" w:cs="SimSun"/>
          <w:sz w:val="17"/>
          <w:szCs w:val="17"/>
          <w:color w:val="333333"/>
          <w:spacing w:val="2"/>
        </w:rPr>
        <w:t>法治建设是内部控制规范体系持续建立健全并有效实施的重要保障。</w:t>
      </w:r>
      <w:r>
        <w:rPr>
          <w:rFonts w:ascii="SimSun" w:hAnsi="SimSun" w:eastAsia="SimSun" w:cs="SimSun"/>
          <w:sz w:val="17"/>
          <w:szCs w:val="17"/>
          <w:color w:val="333333"/>
          <w:spacing w:val="-53"/>
        </w:rPr>
        <w:t> </w:t>
      </w:r>
      <w:r>
        <w:rPr>
          <w:rFonts w:ascii="SimSun" w:hAnsi="SimSun" w:eastAsia="SimSun" w:cs="SimSun"/>
          <w:sz w:val="17"/>
          <w:szCs w:val="17"/>
          <w:color w:val="333333"/>
          <w:spacing w:val="2"/>
        </w:rPr>
        <w:t>“十四五”期间，财政部将加强内部控制相关法治建设，</w:t>
      </w:r>
      <w:r>
        <w:rPr>
          <w:rFonts w:ascii="SimSun" w:hAnsi="SimSun" w:eastAsia="SimSun" w:cs="SimSun"/>
          <w:sz w:val="17"/>
          <w:szCs w:val="17"/>
          <w:color w:val="333333"/>
        </w:rPr>
        <w:t> </w:t>
      </w:r>
      <w:r>
        <w:rPr>
          <w:rFonts w:ascii="SimSun" w:hAnsi="SimSun" w:eastAsia="SimSun" w:cs="SimSun"/>
          <w:sz w:val="17"/>
          <w:szCs w:val="17"/>
          <w:color w:val="333333"/>
          <w:spacing w:val="-5"/>
        </w:rPr>
        <w:t>积极推动修订《会计法》</w:t>
      </w:r>
      <w:r>
        <w:rPr>
          <w:rFonts w:ascii="SimSun" w:hAnsi="SimSun" w:eastAsia="SimSun" w:cs="SimSun"/>
          <w:sz w:val="17"/>
          <w:szCs w:val="17"/>
          <w:color w:val="333333"/>
          <w:spacing w:val="27"/>
        </w:rPr>
        <w:t> </w:t>
      </w:r>
      <w:r>
        <w:rPr>
          <w:rFonts w:ascii="SimSun" w:hAnsi="SimSun" w:eastAsia="SimSun" w:cs="SimSun"/>
          <w:sz w:val="17"/>
          <w:szCs w:val="17"/>
          <w:color w:val="333333"/>
          <w:spacing w:val="-5"/>
        </w:rPr>
        <w:t>《注册会计师法》</w:t>
      </w:r>
      <w:r>
        <w:rPr>
          <w:rFonts w:ascii="SimSun" w:hAnsi="SimSun" w:eastAsia="SimSun" w:cs="SimSun"/>
          <w:sz w:val="17"/>
          <w:szCs w:val="17"/>
          <w:color w:val="333333"/>
          <w:spacing w:val="-7"/>
        </w:rPr>
        <w:t> </w:t>
      </w:r>
      <w:r>
        <w:rPr>
          <w:rFonts w:ascii="SimSun" w:hAnsi="SimSun" w:eastAsia="SimSun" w:cs="SimSun"/>
          <w:sz w:val="17"/>
          <w:szCs w:val="17"/>
          <w:color w:val="333333"/>
          <w:spacing w:val="-5"/>
        </w:rPr>
        <w:t>《公司法》</w:t>
      </w:r>
      <w:r>
        <w:rPr>
          <w:rFonts w:ascii="SimSun" w:hAnsi="SimSun" w:eastAsia="SimSun" w:cs="SimSun"/>
          <w:sz w:val="17"/>
          <w:szCs w:val="17"/>
          <w:color w:val="333333"/>
          <w:spacing w:val="-6"/>
        </w:rPr>
        <w:t> </w:t>
      </w:r>
      <w:r>
        <w:rPr>
          <w:rFonts w:ascii="SimSun" w:hAnsi="SimSun" w:eastAsia="SimSun" w:cs="SimSun"/>
          <w:sz w:val="17"/>
          <w:szCs w:val="17"/>
          <w:color w:val="333333"/>
          <w:spacing w:val="-5"/>
        </w:rPr>
        <w:t>《行政单位财务规则》</w:t>
      </w:r>
      <w:r>
        <w:rPr>
          <w:rFonts w:ascii="SimSun" w:hAnsi="SimSun" w:eastAsia="SimSun" w:cs="SimSun"/>
          <w:sz w:val="17"/>
          <w:szCs w:val="17"/>
          <w:color w:val="333333"/>
          <w:spacing w:val="-6"/>
        </w:rPr>
        <w:t> </w:t>
      </w:r>
      <w:r>
        <w:rPr>
          <w:rFonts w:ascii="SimSun" w:hAnsi="SimSun" w:eastAsia="SimSun" w:cs="SimSun"/>
          <w:sz w:val="17"/>
          <w:szCs w:val="17"/>
          <w:color w:val="333333"/>
          <w:spacing w:val="-5"/>
        </w:rPr>
        <w:t>《事业单位财务规则》</w:t>
      </w:r>
      <w:r>
        <w:rPr>
          <w:rFonts w:ascii="SimSun" w:hAnsi="SimSun" w:eastAsia="SimSun" w:cs="SimSun"/>
          <w:sz w:val="17"/>
          <w:szCs w:val="17"/>
          <w:color w:val="333333"/>
        </w:rPr>
        <w:t> </w:t>
      </w:r>
      <w:r>
        <w:rPr>
          <w:rFonts w:ascii="SimSun" w:hAnsi="SimSun" w:eastAsia="SimSun" w:cs="SimSun"/>
          <w:sz w:val="17"/>
          <w:szCs w:val="17"/>
          <w:color w:val="333333"/>
          <w:spacing w:val="-5"/>
        </w:rPr>
        <w:t>等法律法规和部门规章，明确</w:t>
      </w:r>
      <w:r>
        <w:rPr>
          <w:rFonts w:ascii="SimSun" w:hAnsi="SimSun" w:eastAsia="SimSun" w:cs="SimSun"/>
          <w:sz w:val="17"/>
          <w:szCs w:val="17"/>
          <w:color w:val="333333"/>
        </w:rPr>
        <w:t> </w:t>
      </w:r>
      <w:r>
        <w:rPr>
          <w:rFonts w:ascii="SimSun" w:hAnsi="SimSun" w:eastAsia="SimSun" w:cs="SimSun"/>
          <w:sz w:val="17"/>
          <w:szCs w:val="17"/>
          <w:color w:val="333333"/>
          <w:spacing w:val="2"/>
        </w:rPr>
        <w:t>相关单位建立健全内部控制体系的要求，压实单位负责人的责任，强化对虚假披露内部控制信息的处罚力度，将内部控制审计纳入</w:t>
      </w:r>
      <w:r>
        <w:rPr>
          <w:rFonts w:ascii="SimSun" w:hAnsi="SimSun" w:eastAsia="SimSun" w:cs="SimSun"/>
          <w:sz w:val="17"/>
          <w:szCs w:val="17"/>
          <w:color w:val="333333"/>
          <w:spacing w:val="34"/>
        </w:rPr>
        <w:t> </w:t>
      </w:r>
      <w:r>
        <w:rPr>
          <w:rFonts w:ascii="SimSun" w:hAnsi="SimSun" w:eastAsia="SimSun" w:cs="SimSun"/>
          <w:sz w:val="17"/>
          <w:szCs w:val="17"/>
          <w:color w:val="333333"/>
          <w:spacing w:val="-2"/>
        </w:rPr>
        <w:t>注册会计师法定业务。</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rPr>
        <w:t>（二）进一步健全完善并有效实施企业内部控制规范。</w:t>
      </w:r>
    </w:p>
    <w:p>
      <w:pPr>
        <w:ind w:firstLine="1408"/>
        <w:spacing w:before="236" w:line="187" w:lineRule="auto"/>
        <w:rPr>
          <w:rFonts w:ascii="SimSun" w:hAnsi="SimSun" w:eastAsia="SimSun" w:cs="SimSun"/>
          <w:sz w:val="17"/>
          <w:szCs w:val="17"/>
        </w:rPr>
      </w:pPr>
      <w:r>
        <w:rPr>
          <w:rFonts w:ascii="SimSun" w:hAnsi="SimSun" w:eastAsia="SimSun" w:cs="SimSun"/>
          <w:sz w:val="17"/>
          <w:szCs w:val="17"/>
          <w:color w:val="333333"/>
          <w:spacing w:val="5"/>
        </w:rPr>
        <w:t>1.系统梳理修订企业内部控制规范体系。立足我国企业实际，坚持问题导向和系统思维，系统梳理现行企业内部控制规范体</w:t>
      </w:r>
    </w:p>
    <w:p>
      <w:pPr>
        <w:ind w:left="1046" w:right="1016" w:firstLine="1"/>
        <w:spacing w:before="130" w:line="327" w:lineRule="auto"/>
        <w:rPr>
          <w:rFonts w:ascii="SimSun" w:hAnsi="SimSun" w:eastAsia="SimSun" w:cs="SimSun"/>
          <w:sz w:val="17"/>
          <w:szCs w:val="17"/>
        </w:rPr>
      </w:pPr>
      <w:r>
        <w:rPr>
          <w:rFonts w:ascii="SimSun" w:hAnsi="SimSun" w:eastAsia="SimSun" w:cs="SimSun"/>
          <w:sz w:val="17"/>
          <w:szCs w:val="17"/>
          <w:color w:val="333333"/>
          <w:spacing w:val="1"/>
        </w:rPr>
        <w:t>系，加强对特殊行业、特定业务事项及特定类型企业内部控制的研究，修订完善《企业内部控制基本规范》</w:t>
      </w:r>
      <w:r>
        <w:rPr>
          <w:rFonts w:ascii="SimSun" w:hAnsi="SimSun" w:eastAsia="SimSun" w:cs="SimSun"/>
          <w:sz w:val="17"/>
          <w:szCs w:val="17"/>
          <w:color w:val="333333"/>
          <w:spacing w:val="3"/>
        </w:rPr>
        <w:t> </w:t>
      </w:r>
      <w:r>
        <w:rPr>
          <w:rFonts w:ascii="SimSun" w:hAnsi="SimSun" w:eastAsia="SimSun" w:cs="SimSun"/>
          <w:sz w:val="17"/>
          <w:szCs w:val="17"/>
          <w:color w:val="333333"/>
          <w:spacing w:val="1"/>
        </w:rPr>
        <w:t>及其配套指引，以更好</w:t>
      </w:r>
      <w:r>
        <w:rPr>
          <w:rFonts w:ascii="SimSun" w:hAnsi="SimSun" w:eastAsia="SimSun" w:cs="SimSun"/>
          <w:sz w:val="17"/>
          <w:szCs w:val="17"/>
          <w:color w:val="333333"/>
        </w:rPr>
        <w:t> </w:t>
      </w:r>
      <w:r>
        <w:rPr>
          <w:rFonts w:ascii="SimSun" w:hAnsi="SimSun" w:eastAsia="SimSun" w:cs="SimSun"/>
          <w:sz w:val="17"/>
          <w:szCs w:val="17"/>
          <w:color w:val="333333"/>
          <w:spacing w:val="-1"/>
        </w:rPr>
        <w:t>指导企业开展内部控制体系建设。</w:t>
      </w:r>
    </w:p>
    <w:p>
      <w:pPr>
        <w:ind w:left="1044" w:right="1016" w:firstLine="347"/>
        <w:spacing w:before="109" w:line="327" w:lineRule="auto"/>
        <w:rPr>
          <w:rFonts w:ascii="SimSun" w:hAnsi="SimSun" w:eastAsia="SimSun" w:cs="SimSun"/>
          <w:sz w:val="17"/>
          <w:szCs w:val="17"/>
        </w:rPr>
      </w:pPr>
      <w:r>
        <w:rPr>
          <w:rFonts w:ascii="SimSun" w:hAnsi="SimSun" w:eastAsia="SimSun" w:cs="SimSun"/>
          <w:sz w:val="17"/>
          <w:szCs w:val="17"/>
          <w:color w:val="333333"/>
          <w:spacing w:val="2"/>
        </w:rPr>
        <w:t>2.推动上市公司有效实施企业内部控制规范。</w:t>
      </w:r>
      <w:r>
        <w:rPr>
          <w:rFonts w:ascii="SimSun" w:hAnsi="SimSun" w:eastAsia="SimSun" w:cs="SimSun"/>
          <w:sz w:val="17"/>
          <w:szCs w:val="17"/>
          <w:color w:val="333333"/>
          <w:spacing w:val="-56"/>
        </w:rPr>
        <w:t> </w:t>
      </w:r>
      <w:r>
        <w:rPr>
          <w:rFonts w:ascii="SimSun" w:hAnsi="SimSun" w:eastAsia="SimSun" w:cs="SimSun"/>
          <w:sz w:val="17"/>
          <w:szCs w:val="17"/>
          <w:color w:val="333333"/>
          <w:spacing w:val="2"/>
        </w:rPr>
        <w:t>“十四五”期间，财政部将会同证监会等监管部门，进一步扩大上市公司实施内</w:t>
      </w:r>
      <w:r>
        <w:rPr>
          <w:rFonts w:ascii="SimSun" w:hAnsi="SimSun" w:eastAsia="SimSun" w:cs="SimSun"/>
          <w:sz w:val="17"/>
          <w:szCs w:val="17"/>
          <w:color w:val="333333"/>
        </w:rPr>
        <w:t> </w:t>
      </w:r>
      <w:r>
        <w:rPr>
          <w:rFonts w:ascii="SimSun" w:hAnsi="SimSun" w:eastAsia="SimSun" w:cs="SimSun"/>
          <w:sz w:val="17"/>
          <w:szCs w:val="17"/>
          <w:color w:val="333333"/>
          <w:spacing w:val="2"/>
        </w:rPr>
        <w:t>部控制规范的范围，加强对上市公司实施企业内部控制规范的管理、指导和监督，不断提高上市公司治理水平和信息披露质量，保</w:t>
      </w:r>
      <w:r>
        <w:rPr>
          <w:rFonts w:ascii="SimSun" w:hAnsi="SimSun" w:eastAsia="SimSun" w:cs="SimSun"/>
          <w:sz w:val="17"/>
          <w:szCs w:val="17"/>
          <w:color w:val="333333"/>
          <w:spacing w:val="34"/>
        </w:rPr>
        <w:t> </w:t>
      </w:r>
      <w:r>
        <w:rPr>
          <w:rFonts w:ascii="SimSun" w:hAnsi="SimSun" w:eastAsia="SimSun" w:cs="SimSun"/>
          <w:sz w:val="17"/>
          <w:szCs w:val="17"/>
          <w:color w:val="333333"/>
          <w:spacing w:val="2"/>
        </w:rPr>
        <w:t>护投资者合法权益，促进我国资本市场健康发展。一是扩大实施范围。在原中小板上市公司并入主板实施企业内部控制规范的基础</w:t>
      </w:r>
      <w:r>
        <w:rPr>
          <w:rFonts w:ascii="SimSun" w:hAnsi="SimSun" w:eastAsia="SimSun" w:cs="SimSun"/>
          <w:sz w:val="17"/>
          <w:szCs w:val="17"/>
          <w:color w:val="333333"/>
          <w:spacing w:val="34"/>
        </w:rPr>
        <w:t> </w:t>
      </w:r>
      <w:r>
        <w:rPr>
          <w:rFonts w:ascii="SimSun" w:hAnsi="SimSun" w:eastAsia="SimSun" w:cs="SimSun"/>
          <w:sz w:val="17"/>
          <w:szCs w:val="17"/>
          <w:color w:val="333333"/>
          <w:spacing w:val="2"/>
        </w:rPr>
        <w:t>上，进一步扩大上市公司实施内部控制规范的范围。二是加强政策指导。针对当前高发的上市公司财务造假案例，印发《关于进一</w:t>
      </w:r>
      <w:r>
        <w:rPr>
          <w:rFonts w:ascii="SimSun" w:hAnsi="SimSun" w:eastAsia="SimSun" w:cs="SimSun"/>
          <w:sz w:val="17"/>
          <w:szCs w:val="17"/>
          <w:color w:val="333333"/>
          <w:spacing w:val="34"/>
        </w:rPr>
        <w:t> </w:t>
      </w:r>
      <w:r>
        <w:rPr>
          <w:rFonts w:ascii="SimSun" w:hAnsi="SimSun" w:eastAsia="SimSun" w:cs="SimSun"/>
          <w:sz w:val="17"/>
          <w:szCs w:val="17"/>
          <w:color w:val="333333"/>
        </w:rPr>
        <w:t>步提升上市公司财务报告内部控制有效性的通知》</w:t>
      </w:r>
      <w:r>
        <w:rPr>
          <w:rFonts w:ascii="SimSun" w:hAnsi="SimSun" w:eastAsia="SimSun" w:cs="SimSun"/>
          <w:sz w:val="17"/>
          <w:szCs w:val="17"/>
          <w:color w:val="333333"/>
          <w:spacing w:val="63"/>
        </w:rPr>
        <w:t> </w:t>
      </w:r>
      <w:r>
        <w:rPr>
          <w:rFonts w:ascii="SimSun" w:hAnsi="SimSun" w:eastAsia="SimSun" w:cs="SimSun"/>
          <w:sz w:val="17"/>
          <w:szCs w:val="17"/>
          <w:color w:val="333333"/>
        </w:rPr>
        <w:t>，加强对上市公司实施企业内部控制规范的政策指导，规范会计师事务所内部控</w:t>
      </w:r>
      <w:r>
        <w:rPr>
          <w:rFonts w:ascii="SimSun" w:hAnsi="SimSun" w:eastAsia="SimSun" w:cs="SimSun"/>
          <w:sz w:val="17"/>
          <w:szCs w:val="17"/>
          <w:color w:val="333333"/>
        </w:rPr>
        <w:t> </w:t>
      </w:r>
      <w:r>
        <w:rPr>
          <w:rFonts w:ascii="SimSun" w:hAnsi="SimSun" w:eastAsia="SimSun" w:cs="SimSun"/>
          <w:sz w:val="17"/>
          <w:szCs w:val="17"/>
          <w:color w:val="333333"/>
          <w:spacing w:val="2"/>
        </w:rPr>
        <w:t>制审计行为，提升上市公司财务报告内部控制的有效性和会计信息质量。三是强化监督检查。会同证监会等部门，形成监管合力，</w:t>
      </w:r>
      <w:r>
        <w:rPr>
          <w:rFonts w:ascii="SimSun" w:hAnsi="SimSun" w:eastAsia="SimSun" w:cs="SimSun"/>
          <w:sz w:val="17"/>
          <w:szCs w:val="17"/>
          <w:color w:val="333333"/>
          <w:spacing w:val="34"/>
        </w:rPr>
        <w:t> </w:t>
      </w:r>
      <w:r>
        <w:rPr>
          <w:rFonts w:ascii="SimSun" w:hAnsi="SimSun" w:eastAsia="SimSun" w:cs="SimSun"/>
          <w:sz w:val="17"/>
          <w:szCs w:val="17"/>
          <w:color w:val="333333"/>
          <w:spacing w:val="2"/>
        </w:rPr>
        <w:t>加强对上市公司执行企业内部控制规范情况，特别是上市公司内部控制有效性和内部控制重大缺陷认定及整改情况的监督检查，持</w:t>
      </w:r>
      <w:r>
        <w:rPr>
          <w:rFonts w:ascii="SimSun" w:hAnsi="SimSun" w:eastAsia="SimSun" w:cs="SimSun"/>
          <w:sz w:val="17"/>
          <w:szCs w:val="17"/>
          <w:color w:val="333333"/>
          <w:spacing w:val="34"/>
        </w:rPr>
        <w:t> </w:t>
      </w:r>
      <w:r>
        <w:rPr>
          <w:rFonts w:ascii="SimSun" w:hAnsi="SimSun" w:eastAsia="SimSun" w:cs="SimSun"/>
          <w:sz w:val="17"/>
          <w:szCs w:val="17"/>
          <w:color w:val="333333"/>
          <w:spacing w:val="-1"/>
        </w:rPr>
        <w:t>续提升内部控制监管效能。</w:t>
      </w:r>
    </w:p>
    <w:p>
      <w:pPr>
        <w:ind w:firstLine="539"/>
        <w:spacing w:before="20" w:line="218" w:lineRule="exact"/>
        <w:rPr>
          <w:rFonts w:ascii="Arial" w:hAnsi="Arial" w:eastAsia="Arial" w:cs="Arial"/>
          <w:sz w:val="16"/>
          <w:szCs w:val="16"/>
        </w:rPr>
      </w:pPr>
      <w:r>
        <w:rPr>
          <w:rFonts w:ascii="Arial" w:hAnsi="Arial" w:eastAsia="Arial" w:cs="Arial"/>
          <w:sz w:val="16"/>
          <w:szCs w:val="16"/>
          <w:spacing w:val="-1"/>
        </w:rPr>
        <w:t>kjs.mof.gov.cn/zhengcejiedu/202203/t20220310_3794174.htm</w:t>
      </w:r>
      <w:r>
        <w:rPr>
          <w:rFonts w:ascii="Arial" w:hAnsi="Arial" w:eastAsia="Arial" w:cs="Arial"/>
          <w:sz w:val="16"/>
          <w:szCs w:val="16"/>
        </w:rPr>
        <w:t>                                                                                                                                            </w:t>
      </w:r>
      <w:r>
        <w:rPr>
          <w:rFonts w:ascii="Arial" w:hAnsi="Arial" w:eastAsia="Arial" w:cs="Arial"/>
          <w:sz w:val="16"/>
          <w:szCs w:val="16"/>
          <w:spacing w:val="-1"/>
        </w:rPr>
        <w:t>2/4</w:t>
      </w:r>
    </w:p>
    <w:p>
      <w:pPr>
        <w:sectPr>
          <w:pgSz w:w="11900" w:h="16839"/>
          <w:pgMar w:top="0" w:right="0" w:bottom="0" w:left="0" w:header="0" w:footer="0" w:gutter="0"/>
        </w:sectPr>
        <w:rPr/>
      </w:pPr>
    </w:p>
    <w:p>
      <w:pPr>
        <w:ind w:firstLine="533"/>
        <w:spacing w:line="204" w:lineRule="auto"/>
        <w:rPr>
          <w:rFonts w:ascii="Arial" w:hAnsi="Arial" w:eastAsia="Arial" w:cs="Arial"/>
          <w:sz w:val="16"/>
          <w:szCs w:val="16"/>
        </w:rPr>
      </w:pPr>
      <w:r>
        <w:drawing>
          <wp:anchor distT="0" distB="0" distL="0" distR="0" simplePos="0" relativeHeight="251662336" behindDoc="0" locked="0" layoutInCell="0" allowOverlap="1">
            <wp:simplePos x="0" y="0"/>
            <wp:positionH relativeFrom="page">
              <wp:posOffset>5410758</wp:posOffset>
            </wp:positionH>
            <wp:positionV relativeFrom="page">
              <wp:posOffset>9824618</wp:posOffset>
            </wp:positionV>
            <wp:extent cx="150317" cy="150317"/>
            <wp:effectExtent l="0" t="0" r="0" b="0"/>
            <wp:wrapNone/>
            <wp:docPr id="4" name="IM 4"/>
            <wp:cNvGraphicFramePr/>
            <a:graphic>
              <a:graphicData uri="http://schemas.openxmlformats.org/drawingml/2006/picture">
                <pic:pic>
                  <pic:nvPicPr>
                    <pic:cNvPr id="4" name="IM 4"/>
                    <pic:cNvPicPr/>
                  </pic:nvPicPr>
                  <pic:blipFill>
                    <a:blip r:embed="rId8"/>
                    <a:stretch>
                      <a:fillRect/>
                    </a:stretch>
                  </pic:blipFill>
                  <pic:spPr>
                    <a:xfrm rot="0">
                      <a:off x="0" y="0"/>
                      <a:ext cx="150317" cy="150317"/>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扎实推进企业和行政事业单位内部控制建设为推进国家治理体系和治理能力现代化提供重要支撑</w:t>
      </w:r>
      <w:r>
        <w:rPr>
          <w:rFonts w:ascii="Arial" w:hAnsi="Arial" w:eastAsia="Arial" w:cs="Arial"/>
          <w:sz w:val="16"/>
          <w:szCs w:val="16"/>
          <w:spacing w:val="-2"/>
        </w:rPr>
        <w:t>——</w:t>
      </w:r>
      <w:r>
        <w:rPr>
          <w:rFonts w:ascii="Arial" w:hAnsi="Arial" w:eastAsia="Arial" w:cs="Arial"/>
          <w:sz w:val="16"/>
          <w:szCs w:val="16"/>
          <w:spacing w:val="35"/>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w:t>
      </w:r>
      <w:r>
        <w:rPr>
          <w:rFonts w:ascii="Microsoft YaHei" w:hAnsi="Microsoft YaHei" w:eastAsia="Microsoft YaHei" w:cs="Microsoft YaHei"/>
          <w:sz w:val="16"/>
          <w:szCs w:val="16"/>
          <w:spacing w:val="-29"/>
        </w:rPr>
        <w:t> </w:t>
      </w:r>
      <w:r>
        <w:rPr>
          <w:rFonts w:ascii="Arial" w:hAnsi="Arial" w:eastAsia="Arial" w:cs="Arial"/>
          <w:sz w:val="16"/>
          <w:szCs w:val="16"/>
          <w:spacing w:val="-2"/>
        </w:rPr>
        <w:t>…</w:t>
      </w:r>
    </w:p>
    <w:p>
      <w:pPr>
        <w:ind w:firstLine="1392"/>
        <w:spacing w:before="119" w:line="187" w:lineRule="auto"/>
        <w:rPr>
          <w:rFonts w:ascii="SimSun" w:hAnsi="SimSun" w:eastAsia="SimSun" w:cs="SimSun"/>
          <w:sz w:val="17"/>
          <w:szCs w:val="17"/>
        </w:rPr>
      </w:pPr>
      <w:r>
        <w:rPr>
          <w:rFonts w:ascii="SimSun" w:hAnsi="SimSun" w:eastAsia="SimSun" w:cs="SimSun"/>
          <w:sz w:val="17"/>
          <w:szCs w:val="17"/>
          <w:color w:val="333333"/>
          <w:spacing w:val="2"/>
        </w:rPr>
        <w:t>3.推动国有企业有效实施企业内部控制规范。国有企业作为国民经济的重要支柱，应当在贯彻实施企业内部控制规范中发挥表</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率作用。</w:t>
      </w:r>
      <w:r>
        <w:rPr>
          <w:rFonts w:ascii="SimSun" w:hAnsi="SimSun" w:eastAsia="SimSun" w:cs="SimSun"/>
          <w:sz w:val="17"/>
          <w:szCs w:val="17"/>
          <w:color w:val="333333"/>
          <w:spacing w:val="-52"/>
        </w:rPr>
        <w:t> </w:t>
      </w:r>
      <w:r>
        <w:rPr>
          <w:rFonts w:ascii="SimSun" w:hAnsi="SimSun" w:eastAsia="SimSun" w:cs="SimSun"/>
          <w:sz w:val="17"/>
          <w:szCs w:val="17"/>
          <w:color w:val="333333"/>
          <w:spacing w:val="2"/>
        </w:rPr>
        <w:t>“十四五”期间，财政部门将会同各级国有资产监管机构推动国有企业有效实施企业内部控制规范。一是针对国有企业的</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投融资、金融衍生交易、境外投资等高风险业务，指导国有企业完善决策机制、优化业务流程，健全内控措施，强化监督检查，有</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针对性地加强对国有企业执行企业内部控制规范的政策指导。二是在中央企业实施企业内部控制规范的基础上，适时推动其他类型</w:t>
      </w:r>
    </w:p>
    <w:p>
      <w:pPr>
        <w:ind w:firstLine="1060"/>
        <w:spacing w:before="129" w:line="187" w:lineRule="auto"/>
        <w:rPr>
          <w:rFonts w:ascii="SimSun" w:hAnsi="SimSun" w:eastAsia="SimSun" w:cs="SimSun"/>
          <w:sz w:val="17"/>
          <w:szCs w:val="17"/>
        </w:rPr>
      </w:pPr>
      <w:r>
        <w:rPr>
          <w:rFonts w:ascii="SimSun" w:hAnsi="SimSun" w:eastAsia="SimSun" w:cs="SimSun"/>
          <w:sz w:val="17"/>
          <w:szCs w:val="17"/>
          <w:color w:val="333333"/>
          <w:spacing w:val="1"/>
        </w:rPr>
        <w:t>国有企业和地方国有企业执行企业内部控制规范，全面提高我国国有企业经营管理水平和风险防范能力。</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rPr>
        <w:t>（三）持续修订完善并有效实施行政事业单位内部控制规范。</w:t>
      </w:r>
    </w:p>
    <w:p>
      <w:pPr>
        <w:ind w:firstLine="1402"/>
        <w:spacing w:before="236" w:line="187" w:lineRule="auto"/>
        <w:rPr>
          <w:rFonts w:ascii="SimSun" w:hAnsi="SimSun" w:eastAsia="SimSun" w:cs="SimSun"/>
          <w:sz w:val="17"/>
          <w:szCs w:val="17"/>
        </w:rPr>
      </w:pPr>
      <w:r>
        <w:rPr>
          <w:rFonts w:ascii="SimSun" w:hAnsi="SimSun" w:eastAsia="SimSun" w:cs="SimSun"/>
          <w:sz w:val="17"/>
          <w:szCs w:val="17"/>
          <w:color w:val="333333"/>
          <w:spacing w:val="2"/>
        </w:rPr>
        <w:t>1.建立行政事业单位内部控制规范体系。财政部门和各行业主管部门加强统筹协调、明确职责分工，加强对行政事业单位内部</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5"/>
        </w:rPr>
        <w:t>控制规范体系建设的分类指导，逐步完善行政事业单位内部控制规范体系。建立“制订完善-指导实施-监督评价”的闭环管理机</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制，提高行政事业单位内部控制规范的实施效果。</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2"/>
        </w:rPr>
        <w:t>2.完善行政事业单位内部控制报告制度。在优化完善并适度简化报送要求的前提下，持续开展行政事业单位内部控制报告编报</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工作，并对行政事业单位执行内部控制规范情况进行分析，形成相关分析报告，为完善行政事业单位内部控制规范体系提供基础数</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据支撑。鼓励各地区、各部门开展内部控制报告分析应用、内部控制监督检查等工作。</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3.强化行政事业单位内部控制规范的落地实施。各级行政事业单位要不断完善新技术影响下的内部控制信息化配套建设，充分</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利用信息化手段，将各项控制措施嵌入信息系统中，推动内部控制规范的有效实施，不断提升单位内部控制水平。各级财政部门要</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2"/>
        </w:rPr>
        <w:t>总结提炼行政事业单位内部控制建设典型案例和先进经验，开展行政事业单位内部控制案例库建设，供有关行政事业单位开展内部</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控制建设时参考借鉴，不断提高行政事业单位内部控制规范实施效果。</w:t>
      </w:r>
    </w:p>
    <w:p>
      <w:pPr>
        <w:ind w:firstLine="1404"/>
        <w:spacing w:before="237" w:line="187" w:lineRule="auto"/>
        <w:rPr>
          <w:rFonts w:ascii="SimSun" w:hAnsi="SimSun" w:eastAsia="SimSun" w:cs="SimSun"/>
          <w:sz w:val="17"/>
          <w:szCs w:val="17"/>
        </w:rPr>
      </w:pPr>
      <w:r>
        <w:rPr>
          <w:rFonts w:ascii="SimSun" w:hAnsi="SimSun" w:eastAsia="SimSun" w:cs="SimSun"/>
          <w:sz w:val="17"/>
          <w:szCs w:val="17"/>
          <w:color w:val="333333"/>
          <w:spacing w:val="11"/>
        </w:rPr>
        <w:t>四、强化实施保障，确保“十四五”时期各项任务取得实效</w:t>
      </w:r>
    </w:p>
    <w:p>
      <w:pPr>
        <w:ind w:firstLine="1416"/>
        <w:spacing w:before="237" w:line="187" w:lineRule="auto"/>
        <w:rPr>
          <w:rFonts w:ascii="SimSun" w:hAnsi="SimSun" w:eastAsia="SimSun" w:cs="SimSun"/>
          <w:sz w:val="17"/>
          <w:szCs w:val="17"/>
        </w:rPr>
      </w:pPr>
      <w:r>
        <w:rPr>
          <w:rFonts w:ascii="SimSun" w:hAnsi="SimSun" w:eastAsia="SimSun" w:cs="SimSun"/>
          <w:sz w:val="17"/>
          <w:szCs w:val="17"/>
          <w:color w:val="333333"/>
          <w:spacing w:val="5"/>
        </w:rPr>
        <w:t>内部控制规范体系建设与实施工作是一项长期复杂的系统工程，需要各地区、各部门、各单位上下一心、通力合作、统筹谋</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3"/>
        </w:rPr>
        <w:t>划、协同推进。</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（一）加强组织领导，明确主体责任。</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一分部署，九分落实。财政部要继续发挥内部控制规范体系建设与实施的主导作用，加强与证监会、国资委等监管部门和各行</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业主管部门的协同配合，齐抓共管形成合力。各地区、各部门要高度重视本地区（部门）</w:t>
      </w:r>
      <w:r>
        <w:rPr>
          <w:rFonts w:ascii="SimSun" w:hAnsi="SimSun" w:eastAsia="SimSun" w:cs="SimSun"/>
          <w:sz w:val="17"/>
          <w:szCs w:val="17"/>
          <w:color w:val="333333"/>
          <w:spacing w:val="64"/>
        </w:rPr>
        <w:t> </w:t>
      </w:r>
      <w:r>
        <w:rPr>
          <w:rFonts w:ascii="SimSun" w:hAnsi="SimSun" w:eastAsia="SimSun" w:cs="SimSun"/>
          <w:sz w:val="17"/>
          <w:szCs w:val="17"/>
          <w:color w:val="333333"/>
        </w:rPr>
        <w:t>内部控制工作，提高政治站位，加强组织</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协调，积极推进内部控制规范体系在本地区（部门）</w:t>
      </w:r>
      <w:r>
        <w:rPr>
          <w:rFonts w:ascii="SimSun" w:hAnsi="SimSun" w:eastAsia="SimSun" w:cs="SimSun"/>
          <w:sz w:val="17"/>
          <w:szCs w:val="17"/>
          <w:color w:val="333333"/>
          <w:spacing w:val="5"/>
          <w:w w:val="101"/>
        </w:rPr>
        <w:t> </w:t>
      </w:r>
      <w:r>
        <w:rPr>
          <w:rFonts w:ascii="SimSun" w:hAnsi="SimSun" w:eastAsia="SimSun" w:cs="SimSun"/>
          <w:sz w:val="17"/>
          <w:szCs w:val="17"/>
          <w:color w:val="333333"/>
          <w:spacing w:val="1"/>
        </w:rPr>
        <w:t>全面有效贯彻落实。各单位负责人要切实加强对内控工作的组织领导，推动本</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单位内控体系建设与实施工作，同时以身作则、以上率下，带头遵守和执行内部控制规定，并对单位内部控制的有效性承担主体责</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7"/>
        </w:rPr>
        <w:t>任。</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spacing w:val="-1"/>
        </w:rPr>
        <w:t>（二）开展监督评价，确保有效实施。</w:t>
      </w:r>
    </w:p>
    <w:p>
      <w:pPr>
        <w:ind w:firstLine="1389"/>
        <w:spacing w:before="237" w:line="187" w:lineRule="auto"/>
        <w:rPr>
          <w:rFonts w:ascii="SimSun" w:hAnsi="SimSun" w:eastAsia="SimSun" w:cs="SimSun"/>
          <w:sz w:val="17"/>
          <w:szCs w:val="17"/>
        </w:rPr>
      </w:pPr>
      <w:r>
        <w:rPr>
          <w:rFonts w:ascii="SimSun" w:hAnsi="SimSun" w:eastAsia="SimSun" w:cs="SimSun"/>
          <w:sz w:val="17"/>
          <w:szCs w:val="17"/>
          <w:color w:val="333333"/>
          <w:spacing w:val="2"/>
        </w:rPr>
        <w:t>加强对单位内部控制建设与实施工作的监督检查，是内部控制规范体系有效实施的重要保障。各地区、各部门应当加强对各单</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5"/>
        </w:rPr>
        <w:t>位内部控制建立与实施情况的监督检查，对于发现的问题和薄弱环节，要督促各单位及时加以整改落实，同时推动内部控制与审</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计、巡视、纪检监察等其他监督方式的有效贯通，形成监督合力。各单位应当建立健全内部控制的监督检查和自我评价制度，通过</w:t>
      </w:r>
    </w:p>
    <w:p>
      <w:pPr>
        <w:ind w:firstLine="1073"/>
        <w:spacing w:before="129" w:line="187" w:lineRule="auto"/>
        <w:rPr>
          <w:rFonts w:ascii="SimSun" w:hAnsi="SimSun" w:eastAsia="SimSun" w:cs="SimSun"/>
          <w:sz w:val="17"/>
          <w:szCs w:val="17"/>
        </w:rPr>
      </w:pPr>
      <w:r>
        <w:rPr>
          <w:rFonts w:ascii="SimSun" w:hAnsi="SimSun" w:eastAsia="SimSun" w:cs="SimSun"/>
          <w:sz w:val="17"/>
          <w:szCs w:val="17"/>
          <w:color w:val="333333"/>
          <w:spacing w:val="2"/>
        </w:rPr>
        <w:t>日常监督和专项监督，检查内部控制建设与实施过程中存在的突出问题和内控缺陷，并有针对性地制定整改措施，明确整改时限和</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要求，进一步改进和加强单位内部控制。</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spacing w:val="-1"/>
        </w:rPr>
        <w:t>（三）坚持问题导向，强化成果运用。</w:t>
      </w:r>
    </w:p>
    <w:p>
      <w:pPr>
        <w:ind w:firstLine="1410"/>
        <w:spacing w:before="236" w:line="187" w:lineRule="auto"/>
        <w:rPr>
          <w:rFonts w:ascii="SimSun" w:hAnsi="SimSun" w:eastAsia="SimSun" w:cs="SimSun"/>
          <w:sz w:val="17"/>
          <w:szCs w:val="17"/>
        </w:rPr>
      </w:pPr>
      <w:r>
        <w:rPr>
          <w:rFonts w:ascii="SimSun" w:hAnsi="SimSun" w:eastAsia="SimSun" w:cs="SimSun"/>
          <w:sz w:val="17"/>
          <w:szCs w:val="17"/>
          <w:color w:val="333333"/>
          <w:spacing w:val="2"/>
        </w:rPr>
        <w:t>内部控制建设与实施工作要坚持问题导向，各单位要针对重点业务领域和关键岗位，明确权责分工，优化业务流程，查找存在</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spacing w:val="2"/>
        </w:rPr>
        <w:t>的薄弱环节和风险隐患，开展风险评估，完善内控措施，提高内部控制的针对性和有效性，充分发挥内部控制在单位发展中的保驾</w:t>
      </w:r>
    </w:p>
    <w:p>
      <w:pPr>
        <w:ind w:firstLine="1044"/>
        <w:spacing w:before="130" w:line="187" w:lineRule="auto"/>
        <w:rPr>
          <w:rFonts w:ascii="SimSun" w:hAnsi="SimSun" w:eastAsia="SimSun" w:cs="SimSun"/>
          <w:sz w:val="17"/>
          <w:szCs w:val="17"/>
        </w:rPr>
      </w:pPr>
      <w:r>
        <w:rPr>
          <w:rFonts w:ascii="SimSun" w:hAnsi="SimSun" w:eastAsia="SimSun" w:cs="SimSun"/>
          <w:sz w:val="17"/>
          <w:szCs w:val="17"/>
          <w:color w:val="333333"/>
          <w:spacing w:val="2"/>
        </w:rPr>
        <w:t>护航作用。各地区、各部门应当加强内部控制评价结果、内部控制审计意见、内部控制报告等监督评价结果的有效运用，将内部控</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制监督评价结果作为预算安排、绩效考核评价、责任追究等工作的重要参考。</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spacing w:val="-1"/>
        </w:rPr>
        <w:t>（四）加强宣传培训，营造良好氛围。</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2"/>
        </w:rPr>
        <w:t>各地区、各部门、各单位要加大宣传教育和培训力度，把内部控制建设与实施工作与全面依法治国、惩治和预防腐败、推进国</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家治理体系和治理能力现代化等党中央的决策部署相衔接，广泛宣传加强单位内控体系建设的必要性和紧迫性，广泛宣传内部控制</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相关先进经验和典型做法，引导单位广大干部职工自觉提高风险防范和抵制权力滥用意识，为全面推进内部控制规范体系建设与实</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施工作营造良好的环境和氛围。</w:t>
      </w:r>
    </w:p>
    <w:p>
      <w:pPr>
        <w:spacing w:line="203" w:lineRule="exact"/>
        <w:rPr/>
      </w:pPr>
      <w:r/>
    </w:p>
    <w:p>
      <w:pPr>
        <w:sectPr>
          <w:headerReference w:type="default" r:id="rId7"/>
          <w:pgSz w:w="11900" w:h="16839"/>
          <w:pgMar w:top="293" w:right="0" w:bottom="0" w:left="0" w:header="0" w:footer="0" w:gutter="0"/>
          <w:cols w:equalWidth="0" w:num="1">
            <w:col w:w="11900" w:space="0"/>
          </w:cols>
        </w:sectPr>
        <w:rPr/>
      </w:pPr>
    </w:p>
    <w:p>
      <w:pPr>
        <w:ind w:firstLine="1039"/>
        <w:spacing w:before="35"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5" w:line="188" w:lineRule="auto"/>
        <w:rPr>
          <w:rFonts w:ascii="Microsoft YaHei" w:hAnsi="Microsoft YaHei" w:eastAsia="Microsoft YaHei" w:cs="Microsoft YaHei"/>
          <w:sz w:val="16"/>
          <w:szCs w:val="16"/>
        </w:rPr>
      </w:pPr>
      <w:hyperlink w:history="true" r:id="rId9">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81"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2"/>
        </w:rPr>
        <w:t>  </w:t>
      </w:r>
      <w:r>
        <w:rPr>
          <w:rFonts w:ascii="Microsoft YaHei" w:hAnsi="Microsoft YaHei" w:eastAsia="Microsoft YaHei" w:cs="Microsoft YaHei"/>
          <w:sz w:val="15"/>
          <w:szCs w:val="15"/>
          <w:color w:val="333333"/>
          <w:spacing w:val="-1"/>
        </w:rPr>
        <w:t>2022年03月15日</w:t>
      </w:r>
    </w:p>
    <w:p>
      <w:pPr>
        <w:rPr/>
      </w:pPr>
      <w:r/>
    </w:p>
    <w:p>
      <w:pPr>
        <w:spacing w:line="216" w:lineRule="exact"/>
        <w:rPr/>
      </w:pPr>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ind w:firstLine="2032"/>
        <w:spacing w:before="1" w:line="280" w:lineRule="exact"/>
        <w:textAlignment w:val="center"/>
        <w:rPr/>
      </w:pPr>
      <w:r>
        <w:drawing>
          <wp:inline distT="0" distB="0" distL="0" distR="0">
            <wp:extent cx="177647" cy="177647"/>
            <wp:effectExtent l="0" t="0" r="0" b="0"/>
            <wp:docPr id="5" name="IM 5"/>
            <wp:cNvGraphicFramePr/>
            <a:graphic>
              <a:graphicData uri="http://schemas.openxmlformats.org/drawingml/2006/picture">
                <pic:pic>
                  <pic:nvPicPr>
                    <pic:cNvPr id="5" name="IM 5"/>
                    <pic:cNvPicPr/>
                  </pic:nvPicPr>
                  <pic:blipFill>
                    <a:blip r:embed="rId10"/>
                    <a:stretch>
                      <a:fillRect/>
                    </a:stretch>
                  </pic:blipFill>
                  <pic:spPr>
                    <a:xfrm rot="0">
                      <a:off x="0" y="0"/>
                      <a:ext cx="177647" cy="177647"/>
                    </a:xfrm>
                    <a:prstGeom prst="rect">
                      <a:avLst/>
                    </a:prstGeom>
                  </pic:spPr>
                </pic:pic>
              </a:graphicData>
            </a:graphic>
          </wp:inline>
        </w:drawing>
      </w:r>
    </w:p>
    <w:p>
      <w:pPr>
        <w:ind w:firstLine="1580"/>
        <w:spacing w:before="199"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spacing w:before="1" w:line="280" w:lineRule="exact"/>
        <w:textAlignment w:val="center"/>
        <w:rPr/>
      </w:pPr>
      <w:r>
        <w:drawing>
          <wp:inline distT="0" distB="0" distL="0" distR="0">
            <wp:extent cx="177647" cy="177647"/>
            <wp:effectExtent l="0" t="0" r="0" b="0"/>
            <wp:docPr id="6" name="IM 6"/>
            <wp:cNvGraphicFramePr/>
            <a:graphic>
              <a:graphicData uri="http://schemas.openxmlformats.org/drawingml/2006/picture">
                <pic:pic>
                  <pic:nvPicPr>
                    <pic:cNvPr id="6" name="IM 6"/>
                    <pic:cNvPicPr/>
                  </pic:nvPicPr>
                  <pic:blipFill>
                    <a:blip r:embed="rId11"/>
                    <a:stretch>
                      <a:fillRect/>
                    </a:stretch>
                  </pic:blipFill>
                  <pic:spPr>
                    <a:xfrm rot="0">
                      <a:off x="0" y="0"/>
                      <a:ext cx="177647" cy="177647"/>
                    </a:xfrm>
                    <a:prstGeom prst="rect">
                      <a:avLst/>
                    </a:prstGeom>
                  </pic:spPr>
                </pic:pic>
              </a:graphicData>
            </a:graphic>
          </wp:inline>
        </w:drawing>
      </w:r>
    </w:p>
    <w:p>
      <w:pPr>
        <w:ind w:firstLine="108"/>
        <w:spacing w:before="215" w:line="185" w:lineRule="auto"/>
        <w:rPr>
          <w:rFonts w:ascii="Microsoft YaHei" w:hAnsi="Microsoft YaHei" w:eastAsia="Microsoft YaHei" w:cs="Microsoft YaHei"/>
          <w:sz w:val="13"/>
          <w:szCs w:val="13"/>
        </w:rPr>
      </w:pPr>
      <w:hyperlink w:history="true" r:id="rId12">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292" w:lineRule="auto"/>
        <w:rPr>
          <w:rFonts w:ascii="SimSun"/>
          <w:sz w:val="21"/>
        </w:rPr>
      </w:pPr>
      <w:r/>
    </w:p>
    <w:p>
      <w:pPr>
        <w:spacing w:line="292" w:lineRule="auto"/>
        <w:rPr>
          <w:rFonts w:ascii="SimSun"/>
          <w:sz w:val="21"/>
        </w:rPr>
      </w:pPr>
      <w:r/>
    </w:p>
    <w:p>
      <w:pPr>
        <w:spacing w:line="292" w:lineRule="auto"/>
        <w:rPr>
          <w:rFonts w:ascii="SimSun"/>
          <w:sz w:val="21"/>
        </w:rPr>
      </w:pPr>
      <w:r/>
    </w:p>
    <w:p>
      <w:pPr>
        <w:spacing w:line="293" w:lineRule="auto"/>
        <w:rPr>
          <w:rFonts w:ascii="SimSun"/>
          <w:sz w:val="21"/>
        </w:rPr>
      </w:pPr>
      <w:r/>
    </w:p>
    <w:p>
      <w:pPr>
        <w:ind w:firstLine="2"/>
        <w:spacing w:before="56" w:line="185" w:lineRule="auto"/>
        <w:rPr>
          <w:rFonts w:ascii="Microsoft YaHei" w:hAnsi="Microsoft YaHei" w:eastAsia="Microsoft YaHei" w:cs="Microsoft YaHei"/>
          <w:sz w:val="13"/>
          <w:szCs w:val="13"/>
        </w:rPr>
      </w:pPr>
      <w:hyperlink w:history="true" r:id="rId13">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4">
            <w:col w:w="6733" w:space="100"/>
            <w:col w:w="2327" w:space="28"/>
            <w:col w:w="872" w:space="53"/>
            <w:col w:w="1786" w:space="0"/>
          </w:cols>
        </w:sectPr>
        <w:rPr/>
      </w:pPr>
    </w:p>
    <w:p>
      <w:pPr>
        <w:ind w:firstLine="539"/>
        <w:spacing w:before="189" w:line="218" w:lineRule="exact"/>
        <w:rPr>
          <w:rFonts w:ascii="Arial" w:hAnsi="Arial" w:eastAsia="Arial" w:cs="Arial"/>
          <w:sz w:val="16"/>
          <w:szCs w:val="16"/>
        </w:rPr>
      </w:pPr>
      <w:r>
        <w:rPr>
          <w:rFonts w:ascii="Arial" w:hAnsi="Arial" w:eastAsia="Arial" w:cs="Arial"/>
          <w:sz w:val="16"/>
          <w:szCs w:val="16"/>
          <w:spacing w:val="-1"/>
        </w:rPr>
        <w:t>kjs.mof.gov.cn/zhengcejiedu/202203/t20220310_3794174.htm</w:t>
      </w:r>
      <w:r>
        <w:rPr>
          <w:rFonts w:ascii="Arial" w:hAnsi="Arial" w:eastAsia="Arial" w:cs="Arial"/>
          <w:sz w:val="16"/>
          <w:szCs w:val="16"/>
        </w:rPr>
        <w:t>                                                                                                                                            </w:t>
      </w:r>
      <w:r>
        <w:rPr>
          <w:rFonts w:ascii="Arial" w:hAnsi="Arial" w:eastAsia="Arial" w:cs="Arial"/>
          <w:sz w:val="16"/>
          <w:szCs w:val="16"/>
          <w:spacing w:val="-1"/>
        </w:rPr>
        <w:t>3/4</w:t>
      </w:r>
    </w:p>
    <w:p>
      <w:pPr>
        <w:sectPr>
          <w:type w:val="continuous"/>
          <w:pgSz w:w="11900" w:h="16839"/>
          <w:pgMar w:top="293" w:right="0" w:bottom="0" w:left="0" w:header="0" w:footer="0" w:gutter="0"/>
          <w:cols w:equalWidth="0" w:num="1">
            <w:col w:w="11900" w:space="0"/>
          </w:cols>
        </w:sectPr>
        <w:rPr/>
      </w:pPr>
    </w:p>
    <w:p>
      <w:pPr>
        <w:rPr/>
      </w:pPr>
      <w:r>
        <w:drawing>
          <wp:anchor distT="0" distB="0" distL="0" distR="0" simplePos="0" relativeHeight="251667456" behindDoc="0" locked="0" layoutInCell="0" allowOverlap="1">
            <wp:simplePos x="0" y="0"/>
            <wp:positionH relativeFrom="page">
              <wp:posOffset>4536186</wp:posOffset>
            </wp:positionH>
            <wp:positionV relativeFrom="page">
              <wp:posOffset>675771</wp:posOffset>
            </wp:positionV>
            <wp:extent cx="6832" cy="109322"/>
            <wp:effectExtent l="0" t="0" r="0" b="0"/>
            <wp:wrapNone/>
            <wp:docPr id="10" name="IM 10"/>
            <wp:cNvGraphicFramePr/>
            <a:graphic>
              <a:graphicData uri="http://schemas.openxmlformats.org/drawingml/2006/picture">
                <pic:pic>
                  <pic:nvPicPr>
                    <pic:cNvPr id="10" name="IM 10"/>
                    <pic:cNvPicPr/>
                  </pic:nvPicPr>
                  <pic:blipFill>
                    <a:blip r:embed="rId15"/>
                    <a:stretch>
                      <a:fillRect/>
                    </a:stretch>
                  </pic:blipFill>
                  <pic:spPr>
                    <a:xfrm rot="0">
                      <a:off x="0" y="0"/>
                      <a:ext cx="6832" cy="109322"/>
                    </a:xfrm>
                    <a:prstGeom prst="rect">
                      <a:avLst/>
                    </a:prstGeom>
                  </pic:spPr>
                </pic:pic>
              </a:graphicData>
            </a:graphic>
          </wp:anchor>
        </w:drawing>
      </w:r>
      <w:r>
        <w:pict>
          <v:shape id="_x0000_s2" style="position:absolute;margin-left:25.9811pt;margin-top:815.688pt;mso-position-vertical-relative:page;mso-position-horizontal-relative:page;width:543.55pt;height:12.95pt;z-index:251664384;" o:allowincell="f" filled="false" stroked="false" type="#_x0000_t202">
            <v:fill on="false"/>
            <v:stroke on="false"/>
            <v:path/>
            <v:imagedata o:title=""/>
            <o:lock v:ext="edit" aspectratio="false"/>
            <v:textbox inset="0mm,0mm,0mm,0mm">
              <w:txbxContent>
                <w:p>
                  <w:pPr>
                    <w:ind w:firstLine="20"/>
                    <w:spacing w:before="20" w:line="218" w:lineRule="exact"/>
                    <w:rPr>
                      <w:rFonts w:ascii="Arial" w:hAnsi="Arial" w:eastAsia="Arial" w:cs="Arial"/>
                      <w:sz w:val="16"/>
                      <w:szCs w:val="16"/>
                    </w:rPr>
                  </w:pPr>
                  <w:r>
                    <w:rPr>
                      <w:rFonts w:ascii="Arial" w:hAnsi="Arial" w:eastAsia="Arial" w:cs="Arial"/>
                      <w:sz w:val="16"/>
                      <w:szCs w:val="16"/>
                      <w:spacing w:val="-1"/>
                    </w:rPr>
                    <w:t>kjs.mof.gov.cn/zhengcejiedu/202203/t20220310_3794174.htm</w:t>
                  </w:r>
                  <w:r>
                    <w:rPr>
                      <w:rFonts w:ascii="Arial" w:hAnsi="Arial" w:eastAsia="Arial" w:cs="Arial"/>
                      <w:sz w:val="16"/>
                      <w:szCs w:val="16"/>
                      <w:w w:val="101"/>
                    </w:rPr>
                    <w:t>                                                                                                                                           </w:t>
                  </w:r>
                  <w:r>
                    <w:rPr>
                      <w:rFonts w:ascii="Arial" w:hAnsi="Arial" w:eastAsia="Arial" w:cs="Arial"/>
                      <w:sz w:val="16"/>
                      <w:szCs w:val="16"/>
                      <w:spacing w:val="-1"/>
                    </w:rPr>
                    <w:t>4/4</w:t>
                  </w:r>
                </w:p>
              </w:txbxContent>
            </v:textbox>
          </v:shape>
        </w:pict>
      </w:r>
      <w:r>
        <w:pict>
          <v:shape id="_x0000_s3" style="position:absolute;margin-left:302.81pt;margin-top:72.6204pt;mso-position-vertical-relative:page;mso-position-horizontal-relative:page;width:106.75pt;height:11.15pt;z-index:251666432;" o:allowincell="f" filled="false" stroked="false" type="#_x0000_t202">
            <v:fill on="false"/>
            <v:stroke on="false"/>
            <v:path/>
            <v:imagedata o:title=""/>
            <o:lock v:ext="edit" aspectratio="false"/>
            <v:textbox inset="0mm,0mm,0mm,0mm">
              <w:txbxContent>
                <w:p>
                  <w:pPr>
                    <w:ind w:firstLine="20"/>
                    <w:spacing w:before="20" w:line="182"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txbxContent>
            </v:textbox>
          </v:shape>
        </w:pict>
      </w:r>
      <w:r>
        <w:pict>
          <v:shape id="_x0000_s4" style="position:absolute;margin-left:266.185pt;margin-top:98.4375pt;mso-position-vertical-relative:page;mso-position-horizontal-relative:page;width:180.45pt;height:23.95pt;z-index:251665408;" o:allowincell="f" filled="false" stroked="false" type="#_x0000_t202">
            <v:fill on="false"/>
            <v:stroke on="false"/>
            <v:path/>
            <v:imagedata o:title=""/>
            <o:lock v:ext="edit" aspectratio="false"/>
            <v:textbox inset="0mm,0mm,0mm,0mm">
              <w:txbxContent>
                <w:p>
                  <w:pPr>
                    <w:ind w:firstLine="820"/>
                    <w:spacing w:before="19" w:line="183"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20"/>
                    <w:spacing w:before="75"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txbxContent>
            </v:textbox>
          </v:shape>
        </w:pict>
      </w:r>
      <w:r/>
    </w:p>
    <w:p>
      <w:pPr>
        <w:spacing w:line="16" w:lineRule="exact"/>
        <w:rPr/>
      </w:pPr>
      <w:r/>
    </w:p>
    <w:p>
      <w:pPr>
        <w:sectPr>
          <w:headerReference w:type="default" r:id="rId14"/>
          <w:pgSz w:w="11900" w:h="16839"/>
          <w:pgMar w:top="784" w:right="0" w:bottom="0" w:left="0" w:header="293" w:footer="0" w:gutter="0"/>
          <w:cols w:equalWidth="0" w:num="1">
            <w:col w:w="11900" w:space="0"/>
          </w:cols>
        </w:sectPr>
        <w:rPr/>
      </w:pPr>
    </w:p>
    <w:p>
      <w:pPr>
        <w:ind w:firstLine="6215"/>
        <w:spacing w:line="188" w:lineRule="auto"/>
        <w:rPr>
          <w:rFonts w:ascii="Microsoft YaHei" w:hAnsi="Microsoft YaHei" w:eastAsia="Microsoft YaHei" w:cs="Microsoft YaHei"/>
          <w:sz w:val="16"/>
          <w:szCs w:val="16"/>
        </w:rPr>
      </w:pPr>
      <w:hyperlink w:history="true" r:id="rId16">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spacing w:line="14" w:lineRule="auto"/>
        <w:rPr>
          <w:rFonts w:ascii="SimSun"/>
          <w:sz w:val="2"/>
        </w:rPr>
      </w:pPr>
      <w:r>
        <w:rPr>
          <w:rFonts w:ascii="SimSun" w:hAnsi="SimSun" w:eastAsia="SimSun" w:cs="SimSun"/>
          <w:sz w:val="2"/>
          <w:szCs w:val="2"/>
        </w:rPr>
        <w:br w:type="column"/>
      </w:r>
    </w:p>
    <w:p>
      <w:pPr>
        <w:ind w:firstLine="72"/>
        <w:spacing w:line="187" w:lineRule="auto"/>
        <w:rPr>
          <w:rFonts w:ascii="Microsoft YaHei" w:hAnsi="Microsoft YaHei" w:eastAsia="Microsoft YaHei" w:cs="Microsoft YaHei"/>
          <w:sz w:val="16"/>
          <w:szCs w:val="16"/>
        </w:rPr>
      </w:pPr>
      <w:hyperlink w:history="true" r:id="rId17">
        <w:r>
          <w:rPr>
            <w:rFonts w:ascii="Microsoft YaHei" w:hAnsi="Microsoft YaHei" w:eastAsia="Microsoft YaHei" w:cs="Microsoft YaHei"/>
            <w:sz w:val="16"/>
            <w:szCs w:val="16"/>
            <w:color w:val="222222"/>
          </w:rPr>
          <w:t>联系我们</w:t>
        </w:r>
      </w:hyperlink>
    </w:p>
    <w:p>
      <w:pPr>
        <w:sectPr>
          <w:type w:val="continuous"/>
          <w:pgSz w:w="11900" w:h="16839"/>
          <w:pgMar w:top="784" w:right="0" w:bottom="0" w:left="0" w:header="293" w:footer="0" w:gutter="0"/>
          <w:cols w:equalWidth="0" w:num="3">
            <w:col w:w="6946" w:space="100"/>
            <w:col w:w="181" w:space="100"/>
            <w:col w:w="4573" w:space="0"/>
          </w:cols>
        </w:sectPr>
        <w:rPr/>
      </w:pPr>
    </w:p>
    <w:p>
      <w:pPr>
        <w:spacing w:line="335" w:lineRule="auto"/>
        <w:rPr>
          <w:rFonts w:ascii="SimSun"/>
          <w:sz w:val="21"/>
        </w:rPr>
      </w:pPr>
      <w:r/>
    </w:p>
    <w:p>
      <w:pPr>
        <w:ind w:firstLine="4402"/>
        <w:spacing w:before="60"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18">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19">
        <w:r>
          <w:rPr>
            <w:sz w:val="14"/>
            <w:szCs w:val="14"/>
            <w:position w:val="-7"/>
          </w:rPr>
          <w:drawing>
            <wp:inline distT="0" distB="0" distL="0" distR="0">
              <wp:extent cx="136652" cy="136652"/>
              <wp:effectExtent l="0" t="0" r="0" b="0"/>
              <wp:docPr id="11" name="IM 11"/>
              <wp:cNvGraphicFramePr/>
              <a:graphic>
                <a:graphicData uri="http://schemas.openxmlformats.org/drawingml/2006/picture">
                  <pic:pic>
                    <pic:nvPicPr>
                      <pic:cNvPr id="11" name="IM 11"/>
                      <pic:cNvPicPr/>
                    </pic:nvPicPr>
                    <pic:blipFill>
                      <a:blip r:embed="rId20"/>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sectPr>
      <w:type w:val="continuous"/>
      <w:pgSz w:w="11900" w:h="16839"/>
      <w:pgMar w:top="784" w:right="0" w:bottom="0" w:left="0" w:header="293"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533"/>
      <w:spacing w:line="204" w:lineRule="auto"/>
      <w:rPr>
        <w:rFonts w:ascii="Arial" w:hAnsi="Arial" w:eastAsia="Arial" w:cs="Arial"/>
        <w:sz w:val="16"/>
        <w:szCs w:val="16"/>
      </w:rPr>
    </w:pPr>
    <w:r>
      <w:drawing>
        <wp:anchor distT="0" distB="0" distL="0" distR="0" simplePos="0" relativeHeight="251662336" behindDoc="0" locked="0" layoutInCell="0" allowOverlap="1">
          <wp:simplePos x="0" y="0"/>
          <wp:positionH relativeFrom="page">
            <wp:posOffset>457123</wp:posOffset>
          </wp:positionH>
          <wp:positionV relativeFrom="page">
            <wp:posOffset>491290</wp:posOffset>
          </wp:positionV>
          <wp:extent cx="6648119" cy="6832"/>
          <wp:effectExtent l="0" t="0" r="0" b="0"/>
          <wp:wrapNone/>
          <wp:docPr id="7" name="IM 7"/>
          <wp:cNvGraphicFramePr/>
          <a:graphic>
            <a:graphicData uri="http://schemas.openxmlformats.org/drawingml/2006/picture">
              <pic:pic>
                <pic:nvPicPr>
                  <pic:cNvPr id="7" name="IM 7"/>
                  <pic:cNvPicPr/>
                </pic:nvPicPr>
                <pic:blipFill>
                  <a:blip r:embed="rId1"/>
                  <a:stretch>
                    <a:fillRect/>
                  </a:stretch>
                </pic:blipFill>
                <pic:spPr>
                  <a:xfrm rot="0">
                    <a:off x="0" y="0"/>
                    <a:ext cx="6648119" cy="6832"/>
                  </a:xfrm>
                  <a:prstGeom prst="rect">
                    <a:avLst/>
                  </a:prstGeom>
                </pic:spPr>
              </pic:pic>
            </a:graphicData>
          </a:graphic>
        </wp:anchor>
      </w:drawing>
    </w:r>
    <w:r>
      <w:drawing>
        <wp:anchor distT="0" distB="0" distL="0" distR="0" simplePos="0" relativeHeight="251659264" behindDoc="1" locked="0" layoutInCell="0" allowOverlap="1">
          <wp:simplePos x="0" y="0"/>
          <wp:positionH relativeFrom="page">
            <wp:posOffset>2172106</wp:posOffset>
          </wp:positionH>
          <wp:positionV relativeFrom="page">
            <wp:posOffset>942237</wp:posOffset>
          </wp:positionV>
          <wp:extent cx="471449" cy="430455"/>
          <wp:effectExtent l="0" t="0" r="0" b="0"/>
          <wp:wrapNone/>
          <wp:docPr id="8" name="IM 8"/>
          <wp:cNvGraphicFramePr/>
          <a:graphic>
            <a:graphicData uri="http://schemas.openxmlformats.org/drawingml/2006/picture">
              <pic:pic>
                <pic:nvPicPr>
                  <pic:cNvPr id="8" name="IM 8"/>
                  <pic:cNvPicPr/>
                </pic:nvPicPr>
                <pic:blipFill>
                  <a:blip r:embed="rId2"/>
                  <a:stretch>
                    <a:fillRect/>
                  </a:stretch>
                </pic:blipFill>
                <pic:spPr>
                  <a:xfrm rot="0">
                    <a:off x="0" y="0"/>
                    <a:ext cx="471449" cy="430455"/>
                  </a:xfrm>
                  <a:prstGeom prst="rect">
                    <a:avLst/>
                  </a:prstGeom>
                </pic:spPr>
              </pic:pic>
            </a:graphicData>
          </a:graphic>
        </wp:anchor>
      </w:drawing>
    </w:r>
    <w:r>
      <w:drawing>
        <wp:anchor distT="0" distB="0" distL="0" distR="0" simplePos="0" relativeHeight="251660288" behindDoc="1" locked="0" layoutInCell="0" allowOverlap="1">
          <wp:simplePos x="0" y="0"/>
          <wp:positionH relativeFrom="page">
            <wp:posOffset>1304366</wp:posOffset>
          </wp:positionH>
          <wp:positionV relativeFrom="page">
            <wp:posOffset>976400</wp:posOffset>
          </wp:positionV>
          <wp:extent cx="840409" cy="362128"/>
          <wp:effectExtent l="0" t="0" r="0" b="0"/>
          <wp:wrapNone/>
          <wp:docPr id="9" name="IM 9"/>
          <wp:cNvGraphicFramePr/>
          <a:graphic>
            <a:graphicData uri="http://schemas.openxmlformats.org/drawingml/2006/picture">
              <pic:pic>
                <pic:nvPicPr>
                  <pic:cNvPr id="9" name="IM 9"/>
                  <pic:cNvPicPr/>
                </pic:nvPicPr>
                <pic:blipFill>
                  <a:blip r:embed="rId3"/>
                  <a:stretch>
                    <a:fillRect/>
                  </a:stretch>
                </pic:blipFill>
                <pic:spPr>
                  <a:xfrm rot="0">
                    <a:off x="0" y="0"/>
                    <a:ext cx="840409" cy="362128"/>
                  </a:xfrm>
                  <a:prstGeom prst="rect">
                    <a:avLst/>
                  </a:prstGeom>
                </pic:spPr>
              </pic:pic>
            </a:graphicData>
          </a:graphic>
        </wp:anchor>
      </w:drawing>
    </w:r>
    <w:r>
      <w:pict>
        <v:rect id="_x0000_s1" style="position:absolute;margin-left:0pt;margin-top:-14.6505pt;mso-position-vertical-relative:text;mso-position-horizontal-relative:text;width:595.25pt;height:842.2pt;z-index:-251655168;" fillcolor="#FFFFFF" filled="true" stroked="false"/>
      </w:pict>
    </w:r>
    <w:r>
      <w:rPr>
        <w:rFonts w:ascii="Arial" w:hAnsi="Arial" w:eastAsia="Arial" w:cs="Arial"/>
        <w:sz w:val="16"/>
        <w:szCs w:val="16"/>
        <w:spacing w:val="-2"/>
        <w:position w:val="1"/>
      </w:rPr>
      <w:t>2022/4/27</w:t>
    </w:r>
    <w:r>
      <w:rPr>
        <w:rFonts w:ascii="Arial" w:hAnsi="Arial" w:eastAsia="Arial" w:cs="Arial"/>
        <w:sz w:val="16"/>
        <w:szCs w:val="16"/>
        <w:spacing w:val="4"/>
        <w:position w:val="1"/>
      </w:rPr>
      <w:t>               </w:t>
    </w:r>
    <w:r>
      <w:rPr>
        <w:rFonts w:ascii="Microsoft YaHei" w:hAnsi="Microsoft YaHei" w:eastAsia="Microsoft YaHei" w:cs="Microsoft YaHei"/>
        <w:sz w:val="16"/>
        <w:szCs w:val="16"/>
        <w:spacing w:val="-2"/>
      </w:rPr>
      <w:t>扎实推进企业和行政事业单位内部控制建设为推进国家治理体系和治理能力现代化提供重要支撑</w:t>
    </w:r>
    <w:r>
      <w:rPr>
        <w:rFonts w:ascii="Arial" w:hAnsi="Arial" w:eastAsia="Arial" w:cs="Arial"/>
        <w:sz w:val="16"/>
        <w:szCs w:val="16"/>
        <w:spacing w:val="-2"/>
      </w:rPr>
      <w:t>——</w:t>
    </w:r>
    <w:r>
      <w:rPr>
        <w:rFonts w:ascii="Arial" w:hAnsi="Arial" w:eastAsia="Arial" w:cs="Arial"/>
        <w:sz w:val="16"/>
        <w:szCs w:val="16"/>
        <w:spacing w:val="35"/>
        <w:w w:val="102"/>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w:t>
    </w:r>
    <w:r>
      <w:rPr>
        <w:rFonts w:ascii="Microsoft YaHei" w:hAnsi="Microsoft YaHei" w:eastAsia="Microsoft YaHei" w:cs="Microsoft YaHei"/>
        <w:sz w:val="16"/>
        <w:szCs w:val="16"/>
        <w:spacing w:val="-29"/>
      </w:rPr>
      <w:t> </w:t>
    </w:r>
    <w:r>
      <w:rPr>
        <w:rFonts w:ascii="Arial" w:hAnsi="Arial" w:eastAsia="Arial" w:cs="Arial"/>
        <w:sz w:val="16"/>
        <w:szCs w:val="16"/>
        <w:spacing w:val="-2"/>
      </w:rPr>
      <w:t>…</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yperlink" Target="http://kjs.mof.gov.cn/gongzuodongtai/202111/t20211126_3769461.htm" TargetMode="External"/><Relationship Id="rId8" Type="http://schemas.openxmlformats.org/officeDocument/2006/relationships/image" Target="media/image4.png"/><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2" Type="http://schemas.openxmlformats.org/officeDocument/2006/relationships/styles" Target="styles.xml"/><Relationship Id="rId21" Type="http://schemas.openxmlformats.org/officeDocument/2006/relationships/settings" Target="settings.xml"/><Relationship Id="rId20" Type="http://schemas.openxmlformats.org/officeDocument/2006/relationships/image" Target="media/image11.png"/><Relationship Id="rId2" Type="http://schemas.openxmlformats.org/officeDocument/2006/relationships/image" Target="media/image2.png"/><Relationship Id="rId19" Type="http://schemas.openxmlformats.org/officeDocument/2006/relationships/hyperlink" Target="http://www.beian.gov.cn/portal/registerSystemInfo?recordcode=11010202000006" TargetMode="External"/><Relationship Id="rId18" Type="http://schemas.openxmlformats.org/officeDocument/2006/relationships/hyperlink" Target="https://beian.miit.gov.cn/#/Integrated/index" TargetMode="External"/><Relationship Id="rId17" Type="http://schemas.openxmlformats.org/officeDocument/2006/relationships/hyperlink" Target="http://www.mof.gov.cn/gywm/" TargetMode="External"/><Relationship Id="rId16" Type="http://schemas.openxmlformats.org/officeDocument/2006/relationships/hyperlink" Target="http://www.mof.gov.cn/wzdt/" TargetMode="External"/><Relationship Id="rId15" Type="http://schemas.openxmlformats.org/officeDocument/2006/relationships/image" Target="media/image10.jpeg"/><Relationship Id="rId14" Type="http://schemas.openxmlformats.org/officeDocument/2006/relationships/header" Target="header2.xml"/><Relationship Id="rId13" Type="http://schemas.openxmlformats.org/officeDocument/2006/relationships/hyperlink" Target="javascript:close()" TargetMode="External"/><Relationship Id="rId12" Type="http://schemas.openxmlformats.org/officeDocument/2006/relationships/hyperlink" Target="javascript:window.print()" TargetMode="Externa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jpe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2022-04-27T01:08:33Z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2022-04-27T16:21:13</vt:filetime>
  </op:property>
</op:Properties>
</file>