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0" w:firstLineChars="0"/>
        <w:rPr>
          <w:rFonts w:hint="eastAsia" w:ascii="黑体" w:hAnsi="黑体" w:eastAsia="黑体" w:cs="黑体"/>
          <w:szCs w:val="32"/>
          <w:lang w:val="en-US" w:eastAsia="zh-CN"/>
        </w:rPr>
      </w:pPr>
      <w:r>
        <w:rPr>
          <w:rFonts w:hint="eastAsia" w:ascii="黑体" w:hAnsi="黑体" w:eastAsia="黑体" w:cs="黑体"/>
          <w:szCs w:val="32"/>
        </w:rPr>
        <w:t>附件</w:t>
      </w:r>
      <w:r>
        <w:rPr>
          <w:rFonts w:hint="eastAsia" w:ascii="黑体" w:hAnsi="黑体" w:eastAsia="黑体" w:cs="黑体"/>
          <w:szCs w:val="32"/>
          <w:lang w:val="en-US" w:eastAsia="zh-CN"/>
        </w:rPr>
        <w:t>2</w:t>
      </w:r>
    </w:p>
    <w:p>
      <w:pPr>
        <w:ind w:firstLine="0" w:firstLineChars="0"/>
        <w:jc w:val="center"/>
        <w:rPr>
          <w:rFonts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城市更新示范城市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  <w:t>绩效</w:t>
      </w:r>
      <w:r>
        <w:rPr>
          <w:rFonts w:hint="eastAsia" w:ascii="方正小标宋简体" w:hAnsi="方正小标宋简体" w:eastAsia="方正小标宋简体" w:cs="方正小标宋简体"/>
          <w:sz w:val="36"/>
          <w:szCs w:val="36"/>
        </w:rPr>
        <w:t>指标体系</w:t>
      </w:r>
    </w:p>
    <w:tbl>
      <w:tblPr>
        <w:tblStyle w:val="7"/>
        <w:tblW w:w="827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9"/>
        <w:gridCol w:w="1271"/>
        <w:gridCol w:w="1785"/>
        <w:gridCol w:w="3638"/>
        <w:gridCol w:w="91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  <w:tblHeader/>
          <w:jc w:val="center"/>
        </w:trPr>
        <w:tc>
          <w:tcPr>
            <w:tcW w:w="66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b/>
                <w:bCs/>
                <w:kern w:val="0"/>
                <w:sz w:val="24"/>
              </w:rPr>
            </w:pPr>
            <w:r>
              <w:rPr>
                <w:rFonts w:hint="eastAsia" w:ascii="仿宋" w:hAnsi="仿宋" w:cs="仿宋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1271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b/>
                <w:bCs/>
                <w:kern w:val="0"/>
                <w:sz w:val="24"/>
              </w:rPr>
            </w:pPr>
            <w:r>
              <w:rPr>
                <w:rFonts w:hint="eastAsia" w:ascii="仿宋" w:hAnsi="仿宋" w:cs="仿宋"/>
                <w:b/>
                <w:bCs/>
                <w:kern w:val="0"/>
                <w:sz w:val="24"/>
              </w:rPr>
              <w:t>一级指标</w:t>
            </w:r>
          </w:p>
        </w:tc>
        <w:tc>
          <w:tcPr>
            <w:tcW w:w="1785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b/>
                <w:bCs/>
                <w:kern w:val="0"/>
                <w:sz w:val="24"/>
              </w:rPr>
            </w:pPr>
            <w:r>
              <w:rPr>
                <w:rFonts w:hint="eastAsia" w:ascii="仿宋" w:hAnsi="仿宋" w:cs="仿宋"/>
                <w:b/>
                <w:bCs/>
                <w:kern w:val="0"/>
                <w:sz w:val="24"/>
              </w:rPr>
              <w:t>二级指标</w:t>
            </w: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b/>
                <w:bCs/>
                <w:kern w:val="0"/>
                <w:sz w:val="24"/>
              </w:rPr>
            </w:pPr>
            <w:r>
              <w:rPr>
                <w:rFonts w:hint="eastAsia" w:ascii="仿宋" w:hAnsi="仿宋" w:cs="仿宋"/>
                <w:b/>
                <w:bCs/>
                <w:kern w:val="0"/>
                <w:sz w:val="24"/>
              </w:rPr>
              <w:t>三级指标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b/>
                <w:bCs/>
                <w:kern w:val="0"/>
                <w:sz w:val="24"/>
              </w:rPr>
            </w:pPr>
            <w:r>
              <w:rPr>
                <w:rFonts w:hint="eastAsia" w:ascii="仿宋" w:hAnsi="仿宋" w:cs="仿宋"/>
                <w:b/>
                <w:bCs/>
                <w:kern w:val="0"/>
                <w:sz w:val="24"/>
              </w:rPr>
              <w:t>指标属性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69" w:type="dxa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271" w:type="dxa"/>
            <w:vMerge w:val="restart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产出绩效</w:t>
            </w:r>
          </w:p>
        </w:tc>
        <w:tc>
          <w:tcPr>
            <w:tcW w:w="1785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城市地下管网更新改造</w:t>
            </w: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完成地下管网现状普查，摸清风险隐患，并建立数字化档案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定性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69" w:type="dxa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城市燃气、供水、排水、污水、供热等地下管网改造任务量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定量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669" w:type="dxa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3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城市污水管网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建设</w:t>
            </w: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城市建成区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已消除</w:t>
            </w:r>
            <w:r>
              <w:rPr>
                <w:rFonts w:hint="eastAsia" w:ascii="仿宋" w:hAnsi="仿宋" w:cs="仿宋"/>
                <w:kern w:val="0"/>
                <w:sz w:val="24"/>
              </w:rPr>
              <w:t>黑臭水体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且不得返黑返臭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定性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69" w:type="dxa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4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default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进水BOD浓度高于100</w:t>
            </w:r>
            <w:r>
              <w:rPr>
                <w:rFonts w:ascii="仿宋" w:hAnsi="仿宋" w:cs="仿宋"/>
                <w:kern w:val="0"/>
                <w:sz w:val="24"/>
              </w:rPr>
              <w:t>mg/L</w:t>
            </w:r>
            <w:r>
              <w:rPr>
                <w:rFonts w:hint="eastAsia" w:ascii="仿宋" w:hAnsi="仿宋" w:cs="仿宋"/>
                <w:kern w:val="0"/>
                <w:sz w:val="24"/>
              </w:rPr>
              <w:t>的城市生活污水处理厂规模占比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（不低于</w:t>
            </w: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90%或</w:t>
            </w:r>
            <w:r>
              <w:rPr>
                <w:rFonts w:hint="eastAsia" w:ascii="仿宋" w:hAnsi="仿宋" w:cs="仿宋"/>
                <w:kern w:val="0"/>
                <w:sz w:val="24"/>
              </w:rPr>
              <w:t>比2</w:t>
            </w:r>
            <w:r>
              <w:rPr>
                <w:rFonts w:ascii="仿宋" w:hAnsi="仿宋" w:cs="仿宋"/>
                <w:kern w:val="0"/>
                <w:sz w:val="24"/>
              </w:rPr>
              <w:t>02</w:t>
            </w: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仿宋" w:hAnsi="仿宋" w:cs="仿宋"/>
                <w:kern w:val="0"/>
                <w:sz w:val="24"/>
              </w:rPr>
              <w:t>年提升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不低于</w:t>
            </w: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15个</w:t>
            </w:r>
            <w:r>
              <w:rPr>
                <w:rFonts w:hint="eastAsia" w:ascii="仿宋" w:hAnsi="仿宋" w:cs="仿宋"/>
                <w:kern w:val="0"/>
                <w:sz w:val="24"/>
              </w:rPr>
              <w:t>百分点</w:t>
            </w: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）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定量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69" w:type="dxa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5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default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城市生活污水集中收集率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（不低于</w:t>
            </w: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80%或</w:t>
            </w:r>
            <w:r>
              <w:rPr>
                <w:rFonts w:hint="eastAsia" w:ascii="仿宋" w:hAnsi="仿宋" w:cs="仿宋"/>
                <w:kern w:val="0"/>
                <w:sz w:val="24"/>
              </w:rPr>
              <w:t>比202</w:t>
            </w: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3</w:t>
            </w:r>
            <w:r>
              <w:rPr>
                <w:rFonts w:hint="eastAsia" w:ascii="仿宋" w:hAnsi="仿宋" w:cs="仿宋"/>
                <w:kern w:val="0"/>
                <w:sz w:val="24"/>
              </w:rPr>
              <w:t>年提升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不少于</w:t>
            </w: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5个百分点）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定量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69" w:type="dxa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6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城市主城区实行</w:t>
            </w: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管网专业企业</w:t>
            </w:r>
            <w:r>
              <w:rPr>
                <w:rFonts w:hint="eastAsia" w:ascii="仿宋" w:hAnsi="仿宋" w:cs="仿宋"/>
                <w:kern w:val="0"/>
                <w:sz w:val="24"/>
              </w:rPr>
              <w:t>运行维护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定量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69" w:type="dxa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7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城市污水处理收费标准全面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覆盖成本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定性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69" w:type="dxa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8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对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排水户实行分级分类管理，重点排水户全面落实排水许可要求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定性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69" w:type="dxa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9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构建以污染物收集效能为导向的绩效考核体系和付费体系，对污水管网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运维效果</w:t>
            </w:r>
            <w:r>
              <w:rPr>
                <w:rFonts w:hint="eastAsia" w:ascii="仿宋" w:hAnsi="仿宋" w:cs="仿宋"/>
                <w:kern w:val="0"/>
                <w:sz w:val="24"/>
              </w:rPr>
              <w:t>按效付费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定性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69" w:type="dxa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default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10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60" w:lineRule="exact"/>
              <w:ind w:left="0" w:leftChars="0" w:right="0" w:rightChars="0"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市政基础设施补短板</w:t>
            </w: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城市易涝点消除比例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定量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7" w:hRule="atLeast"/>
          <w:jc w:val="center"/>
        </w:trPr>
        <w:tc>
          <w:tcPr>
            <w:tcW w:w="669" w:type="dxa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default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11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default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城市内涝防治标准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（毫米</w:t>
            </w:r>
            <w:r>
              <w:rPr>
                <w:rFonts w:hint="default" w:ascii="仿宋" w:hAnsi="仿宋" w:cs="仿宋"/>
                <w:kern w:val="0"/>
                <w:sz w:val="24"/>
                <w:lang w:val="en-US" w:eastAsia="zh-CN"/>
              </w:rPr>
              <w:t>/</w:t>
            </w: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小时，或分片区描述重现期标准）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定量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69" w:type="dxa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1</w:t>
            </w: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2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default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城区</w:t>
            </w:r>
            <w:r>
              <w:rPr>
                <w:rFonts w:hint="eastAsia" w:ascii="仿宋" w:hAnsi="仿宋" w:cs="仿宋"/>
                <w:kern w:val="0"/>
                <w:sz w:val="24"/>
              </w:rPr>
              <w:t>地铁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、</w:t>
            </w:r>
            <w:r>
              <w:rPr>
                <w:rFonts w:hint="eastAsia" w:ascii="仿宋" w:hAnsi="仿宋" w:cs="仿宋"/>
                <w:kern w:val="0"/>
                <w:sz w:val="24"/>
              </w:rPr>
              <w:t>下穿隧道、地下空间出入口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等重要基础设施落实防淹防涝措施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定性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  <w:jc w:val="center"/>
        </w:trPr>
        <w:tc>
          <w:tcPr>
            <w:tcW w:w="669" w:type="dxa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default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13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城市燃气、桥梁、隧道、供排水、综合管廊等城市生命线工程建设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覆盖比例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定量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669" w:type="dxa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1</w:t>
            </w: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4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老旧片区</w:t>
            </w:r>
          </w:p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更新改造</w:t>
            </w: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完成改造的老旧片区数量、改造面积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定量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669" w:type="dxa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1</w:t>
            </w: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5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居民小区二次供水设施由专业化企业接管并提供服务比例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定量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669" w:type="dxa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1</w:t>
            </w: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6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落实海绵城市建设理念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改造的</w:t>
            </w:r>
            <w:r>
              <w:rPr>
                <w:rFonts w:hint="eastAsia" w:ascii="仿宋" w:hAnsi="仿宋" w:cs="仿宋"/>
                <w:kern w:val="0"/>
                <w:sz w:val="24"/>
              </w:rPr>
              <w:t>老旧片区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数量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定量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669" w:type="dxa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1</w:t>
            </w: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7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推进城市社区“嵌入式”服务设施建设工程的社区数量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定量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5" w:hRule="atLeast"/>
          <w:jc w:val="center"/>
        </w:trPr>
        <w:tc>
          <w:tcPr>
            <w:tcW w:w="669" w:type="dxa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hint="default" w:ascii="仿宋" w:hAnsi="仿宋" w:eastAsia="仿宋" w:cs="仿宋"/>
                <w:kern w:val="0"/>
                <w:sz w:val="24"/>
                <w:lang w:val="en-US"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1</w:t>
            </w: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8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补齐“一老一小”等设施短板、无障碍环境建设和适老化改造的社区数量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定量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7" w:hRule="atLeast"/>
          <w:jc w:val="center"/>
        </w:trPr>
        <w:tc>
          <w:tcPr>
            <w:tcW w:w="669" w:type="dxa"/>
            <w:vAlign w:val="center"/>
          </w:tcPr>
          <w:p>
            <w:pPr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19</w:t>
            </w:r>
          </w:p>
        </w:tc>
        <w:tc>
          <w:tcPr>
            <w:tcW w:w="1271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管理绩效</w:t>
            </w:r>
          </w:p>
        </w:tc>
        <w:tc>
          <w:tcPr>
            <w:tcW w:w="1785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城市更新统筹谋划的工作</w:t>
            </w:r>
          </w:p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机制</w:t>
            </w: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拟完成的立法或长效机制数量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定性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0" w:hRule="atLeast"/>
          <w:jc w:val="center"/>
        </w:trPr>
        <w:tc>
          <w:tcPr>
            <w:tcW w:w="66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2</w:t>
            </w:r>
            <w:r>
              <w:rPr>
                <w:rFonts w:ascii="仿宋" w:hAnsi="仿宋" w:cs="仿宋"/>
                <w:kern w:val="0"/>
                <w:sz w:val="24"/>
              </w:rPr>
              <w:t>0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城市更新可持续发展的模式</w:t>
            </w: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拟建立的制度文件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定性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  <w:jc w:val="center"/>
        </w:trPr>
        <w:tc>
          <w:tcPr>
            <w:tcW w:w="66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2</w:t>
            </w:r>
            <w:r>
              <w:rPr>
                <w:rFonts w:ascii="仿宋" w:hAnsi="仿宋" w:cs="仿宋"/>
                <w:kern w:val="0"/>
                <w:sz w:val="24"/>
              </w:rPr>
              <w:t>1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绩效考核制度</w:t>
            </w: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建立</w:t>
            </w:r>
            <w:r>
              <w:rPr>
                <w:rFonts w:hint="eastAsia" w:ascii="仿宋" w:hAnsi="仿宋" w:cs="仿宋"/>
                <w:kern w:val="0"/>
                <w:sz w:val="24"/>
              </w:rPr>
              <w:t>市政府对各区、各部门的绩效考核制度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定性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5" w:hRule="atLeast"/>
          <w:jc w:val="center"/>
        </w:trPr>
        <w:tc>
          <w:tcPr>
            <w:tcW w:w="66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2</w:t>
            </w:r>
            <w:r>
              <w:rPr>
                <w:rFonts w:ascii="仿宋" w:hAnsi="仿宋" w:cs="仿宋"/>
                <w:kern w:val="0"/>
                <w:sz w:val="24"/>
              </w:rPr>
              <w:t>2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投融资机制</w:t>
            </w: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拟制定的投融资机制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定性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  <w:jc w:val="center"/>
        </w:trPr>
        <w:tc>
          <w:tcPr>
            <w:tcW w:w="66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2</w:t>
            </w:r>
            <w:r>
              <w:rPr>
                <w:rFonts w:ascii="仿宋" w:hAnsi="仿宋" w:cs="仿宋"/>
                <w:kern w:val="0"/>
                <w:sz w:val="24"/>
              </w:rPr>
              <w:t>3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拟建立的</w:t>
            </w:r>
          </w:p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配套制度</w:t>
            </w: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在土地、规划、建设、产业、财税、金融等方面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拟</w:t>
            </w:r>
            <w:r>
              <w:rPr>
                <w:rFonts w:hint="eastAsia" w:ascii="仿宋" w:hAnsi="仿宋" w:cs="仿宋"/>
                <w:kern w:val="0"/>
                <w:sz w:val="24"/>
              </w:rPr>
              <w:t>形成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的</w:t>
            </w:r>
            <w:r>
              <w:rPr>
                <w:rFonts w:hint="eastAsia" w:ascii="仿宋" w:hAnsi="仿宋" w:cs="仿宋"/>
                <w:kern w:val="0"/>
                <w:sz w:val="24"/>
              </w:rPr>
              <w:t>政策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定性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4" w:hRule="atLeast"/>
          <w:jc w:val="center"/>
        </w:trPr>
        <w:tc>
          <w:tcPr>
            <w:tcW w:w="66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2</w:t>
            </w:r>
            <w:r>
              <w:rPr>
                <w:rFonts w:ascii="仿宋" w:hAnsi="仿宋" w:cs="仿宋"/>
                <w:kern w:val="0"/>
                <w:sz w:val="24"/>
              </w:rPr>
              <w:t>4</w:t>
            </w:r>
          </w:p>
        </w:tc>
        <w:tc>
          <w:tcPr>
            <w:tcW w:w="1271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资金绩效</w:t>
            </w:r>
          </w:p>
        </w:tc>
        <w:tc>
          <w:tcPr>
            <w:tcW w:w="1785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资金下达</w:t>
            </w:r>
          </w:p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及时性</w:t>
            </w: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中央奖补资金及时下达到项目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比例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定量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66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2</w:t>
            </w:r>
            <w:r>
              <w:rPr>
                <w:rFonts w:ascii="仿宋" w:hAnsi="仿宋" w:cs="仿宋"/>
                <w:kern w:val="0"/>
                <w:sz w:val="24"/>
              </w:rPr>
              <w:t>5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资金的协同性</w:t>
            </w: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地方按方案筹集资金，充分带动社会资金参与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定性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" w:hRule="atLeast"/>
          <w:jc w:val="center"/>
        </w:trPr>
        <w:tc>
          <w:tcPr>
            <w:tcW w:w="66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2</w:t>
            </w:r>
            <w:r>
              <w:rPr>
                <w:rFonts w:ascii="仿宋" w:hAnsi="仿宋" w:cs="仿宋"/>
                <w:kern w:val="0"/>
                <w:sz w:val="24"/>
              </w:rPr>
              <w:t>6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</w:p>
        </w:tc>
        <w:tc>
          <w:tcPr>
            <w:tcW w:w="1785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资金使用的</w:t>
            </w:r>
          </w:p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有效性</w:t>
            </w: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left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中央资金合规使用，有力支撑项目建设</w:t>
            </w:r>
            <w:bookmarkStart w:id="0" w:name="_GoBack"/>
            <w:bookmarkEnd w:id="0"/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定性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66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ascii="仿宋" w:hAnsi="仿宋" w:cs="仿宋"/>
                <w:kern w:val="0"/>
                <w:sz w:val="24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2</w:t>
            </w:r>
            <w:r>
              <w:rPr>
                <w:rFonts w:ascii="仿宋" w:hAnsi="仿宋" w:cs="仿宋"/>
                <w:kern w:val="0"/>
                <w:sz w:val="24"/>
              </w:rPr>
              <w:t>7</w:t>
            </w:r>
          </w:p>
        </w:tc>
        <w:tc>
          <w:tcPr>
            <w:tcW w:w="1271" w:type="dxa"/>
            <w:vMerge w:val="restart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lang w:eastAsia="zh-CN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效益绩效</w:t>
            </w:r>
          </w:p>
        </w:tc>
        <w:tc>
          <w:tcPr>
            <w:tcW w:w="1785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带动投资</w:t>
            </w: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both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城市更新带动社会总投资倍数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定量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6" w:hRule="atLeast"/>
          <w:jc w:val="center"/>
        </w:trPr>
        <w:tc>
          <w:tcPr>
            <w:tcW w:w="669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default" w:ascii="仿宋" w:hAnsi="仿宋" w:cs="仿宋"/>
                <w:kern w:val="0"/>
                <w:sz w:val="24"/>
                <w:lang w:val="en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2</w:t>
            </w:r>
            <w:r>
              <w:rPr>
                <w:rFonts w:ascii="仿宋" w:hAnsi="仿宋" w:cs="仿宋"/>
                <w:kern w:val="0"/>
                <w:sz w:val="24"/>
              </w:rPr>
              <w:t>8</w:t>
            </w:r>
          </w:p>
        </w:tc>
        <w:tc>
          <w:tcPr>
            <w:tcW w:w="1271" w:type="dxa"/>
            <w:vMerge w:val="continue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cs="仿宋"/>
                <w:kern w:val="0"/>
                <w:sz w:val="24"/>
                <w:lang w:eastAsia="zh-CN"/>
              </w:rPr>
            </w:pPr>
          </w:p>
        </w:tc>
        <w:tc>
          <w:tcPr>
            <w:tcW w:w="1785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满意度</w:t>
            </w:r>
          </w:p>
        </w:tc>
        <w:tc>
          <w:tcPr>
            <w:tcW w:w="3638" w:type="dxa"/>
            <w:shd w:val="clear" w:color="auto" w:fill="auto"/>
            <w:vAlign w:val="center"/>
          </w:tcPr>
          <w:p>
            <w:pPr>
              <w:widowControl/>
              <w:spacing w:line="360" w:lineRule="exact"/>
              <w:ind w:firstLine="0" w:firstLineChars="0"/>
              <w:jc w:val="both"/>
              <w:rPr>
                <w:rFonts w:hint="default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cs="仿宋"/>
                <w:kern w:val="0"/>
                <w:sz w:val="24"/>
              </w:rPr>
              <w:t>公众对城市更新示范工作的满意度</w:t>
            </w: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（不低于</w:t>
            </w:r>
            <w:r>
              <w:rPr>
                <w:rFonts w:hint="eastAsia" w:ascii="仿宋" w:hAnsi="仿宋" w:cs="仿宋"/>
                <w:kern w:val="0"/>
                <w:sz w:val="24"/>
                <w:lang w:val="en-US" w:eastAsia="zh-CN"/>
              </w:rPr>
              <w:t>90%)</w:t>
            </w:r>
          </w:p>
        </w:tc>
        <w:tc>
          <w:tcPr>
            <w:tcW w:w="912" w:type="dxa"/>
            <w:vAlign w:val="center"/>
          </w:tcPr>
          <w:p>
            <w:pPr>
              <w:widowControl/>
              <w:spacing w:line="360" w:lineRule="exact"/>
              <w:ind w:firstLine="0" w:firstLineChars="0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仿宋" w:hAnsi="仿宋" w:cs="仿宋"/>
                <w:kern w:val="0"/>
                <w:sz w:val="24"/>
                <w:lang w:eastAsia="zh-CN"/>
              </w:rPr>
              <w:t>定量</w:t>
            </w:r>
          </w:p>
        </w:tc>
      </w:tr>
    </w:tbl>
    <w:p>
      <w:pPr>
        <w:spacing w:line="480" w:lineRule="exact"/>
        <w:ind w:left="705" w:leftChars="174" w:hanging="156" w:hangingChars="205"/>
        <w:rPr>
          <w:sz w:val="8"/>
          <w:szCs w:val="4"/>
        </w:rPr>
      </w:pPr>
    </w:p>
    <w:sectPr>
      <w:footerReference r:id="rId5" w:type="default"/>
      <w:pgSz w:w="11906" w:h="16838"/>
      <w:pgMar w:top="2098" w:right="1474" w:bottom="1417" w:left="1587" w:header="851" w:footer="850" w:gutter="0"/>
      <w:cols w:space="0" w:num="1"/>
      <w:docGrid w:type="linesAndChars" w:linePitch="579" w:charSpace="-84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32"/>
      </w:pPr>
      <w:r>
        <w:separator/>
      </w:r>
    </w:p>
  </w:endnote>
  <w:endnote w:type="continuationSeparator" w:id="1">
    <w:p>
      <w:pPr>
        <w:spacing w:line="240" w:lineRule="auto"/>
        <w:ind w:firstLine="63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ind w:firstLine="360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  <w:ind w:firstLine="360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false" anchor="t" anchorCtr="false" forceAA="false" compatLnSpc="tru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455fBEwIAABkEAAAOAAAAZHJz&#10;L2Uyb0RvYy54bWytU8uO0zAU3SPxD5b3NGkRo6pqOiozKkKqmJEKYu06dhvJL9luk/IB8Aes2LDn&#10;u/odHLtJBwErxMa51/fmPs45nt92WpGj8KGxpqLjUUmJMNzWjdlV9MP71YspJSEyUzNljajoSQR6&#10;u3j+bN66mZjYvVW18ARFTJi1rqL7GN2sKALfC83CyDphEJTWaxbh+l1Re9aiulbFpCxvitb62nnL&#10;RQi4vb8E6SLXl1Lw+CBlEJGoimK2mE+fz206i8WczXaeuX3D+zHYP0yhWWPQ9FrqnkVGDr75o5Ru&#10;uLfByjjiVhdWyoaLvAO2GZe/bbPZMyfyLgAnuCtM4f+V5e+Oj540NbijxDANis5fv5y//Th//0zG&#10;CZ7WhRmyNg55sXttu4pGfxBDKOA+Ld5Jr9MXKxGkAOvTFV/RRcJxOZ5OptMSIY7Y4KBF8fS78yG+&#10;EVaTZFTUg8CMKzuuQ7ykDimpm7GrRqlMojKkrejNy1dl/uEaQXFl0CPtcRk2WbHbdv1yW1ufsJu3&#10;F3EEx1cNmq9ZiI/MQw0YGAqPDziksmhie4uSvfWf/naf8kESopS0UFdFDeRPiXprQF4S4mD4wdgO&#10;hjnoOwu5ghDMkk384KMaTOmt/gjZL1MPyVRAYWY4uoGawbyL8Pogng8Xy+XVh/Qci2uzcbwnM2EZ&#10;3PIQgWeGOWF0AaaHDvrLRPVvJQn8Vz9nPb3oxU9QSwMECgAAAAAAh07iQAAAAAAAAAAAAAAAAAYA&#10;AABfcmVscy9QSwMEFAAAAAgAh07iQIoUZjzRAAAAlAEAAAsAAABfcmVscy8ucmVsc6WQwWrDMAyG&#10;74O9g9F9cZrDGKNOL6PQa+kewNiKYxpbRjLZ+vbzDoNl9LajfqHvE//+8JkWtSJLpGxg1/WgMDvy&#10;MQcD75fj0wsoqTZ7u1BGAzcUOIyPD/szLra2I5ljEdUoWQzMtZZXrcXNmKx0VDC3zUScbG0jB12s&#10;u9qAeuj7Z82/GTBumOrkDfDJD6Aut9LMf9gpOiahqXaOkqZpiu4eVQe2ZY7uyDbhG7lGsxywGvAs&#10;GgdqWdd+BH1fv/un3tNHPuO61X6HjOuPV2+6HL8AUEsDBBQAAAAIAIdO4kB+5uUg9wAAAOEBAAAT&#10;AAAAW0NvbnRlbnRfVHlwZXNdLnhtbJWRQU7DMBBF90jcwfIWJU67QAgl6YK0S0CoHGBkTxKLZGx5&#10;TGhvj5O2G0SRWNoz/78nu9wcxkFMGNg6quQqL6RA0s5Y6ir5vt9lD1JwBDIwOMJKHpHlpr69KfdH&#10;jyxSmriSfYz+USnWPY7AufNIadK6MEJMx9ApD/oDOlTrorhX2lFEilmcO2RdNtjC5xDF9pCuTyYB&#10;B5bi6bQ4syoJ3g9WQ0ymaiLzg5KdCXlKLjvcW893SUOqXwnz5DrgnHtJTxOsQfEKIT7DmDSUCayM&#10;+6KAU/53yWw5cuba1mrMm8BNir3hdLG61o5r1zj93/Ltkrp0q+WD6m9QSwECFAAUAAAACACHTuJA&#10;fublIPcAAADhAQAAEwAAAAAAAAABACAAAACSBAAAW0NvbnRlbnRfVHlwZXNdLnhtbFBLAQIUAAoA&#10;AAAAAIdO4kAAAAAAAAAAAAAAAAAGAAAAAAAAAAAAEAAAAHQDAABfcmVscy9QSwECFAAUAAAACACH&#10;TuJAihRmPNEAAACUAQAACwAAAAAAAAABACAAAACYAwAAX3JlbHMvLnJlbHNQSwECFAAKAAAAAACH&#10;TuJAAAAAAAAAAAAAAAAABAAAAAAAAAAAABAAAAAWAAAAZHJzL1BLAQIUABQAAAAIAIdO4kCzSVju&#10;0AAAAAUBAAAPAAAAAAAAAAEAIAAAADgAAABkcnMvZG93bnJldi54bWxQSwECFAAUAAAACACHTuJA&#10;OOeXwRMCAAAZBAAADgAAAAAAAAABACAAAAA1AQAAZHJzL2Uyb0RvYy54bWxQSwUGAAAAAAYABgBZ&#10;AQAAug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  <w:ind w:firstLine="360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32"/>
      </w:pPr>
      <w:r>
        <w:separator/>
      </w:r>
    </w:p>
  </w:footnote>
  <w:footnote w:type="continuationSeparator" w:id="1">
    <w:p>
      <w:pPr>
        <w:spacing w:line="240" w:lineRule="auto"/>
        <w:ind w:firstLine="632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documentProtection w:enforcement="0"/>
  <w:defaultTabStop w:val="420"/>
  <w:drawingGridVerticalSpacing w:val="156"/>
  <w:noPunctuationKerning w:val="true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FF8AE0"/>
    <w:rsid w:val="00167618"/>
    <w:rsid w:val="0017064F"/>
    <w:rsid w:val="003045AB"/>
    <w:rsid w:val="003C4BFF"/>
    <w:rsid w:val="004B6C74"/>
    <w:rsid w:val="005C5B8E"/>
    <w:rsid w:val="00B22D54"/>
    <w:rsid w:val="00C46D60"/>
    <w:rsid w:val="0757B3BD"/>
    <w:rsid w:val="0BBC3ADE"/>
    <w:rsid w:val="0D7F8D8E"/>
    <w:rsid w:val="0FBC8C63"/>
    <w:rsid w:val="1FEFD6BC"/>
    <w:rsid w:val="2E77AE72"/>
    <w:rsid w:val="2F0E53B6"/>
    <w:rsid w:val="2F277B42"/>
    <w:rsid w:val="2F4D412B"/>
    <w:rsid w:val="2FFA59DB"/>
    <w:rsid w:val="2FFB7DB3"/>
    <w:rsid w:val="367EA18F"/>
    <w:rsid w:val="377B74A9"/>
    <w:rsid w:val="37CF8D3A"/>
    <w:rsid w:val="37ED08C2"/>
    <w:rsid w:val="3CDF2D23"/>
    <w:rsid w:val="3DDB9D3A"/>
    <w:rsid w:val="3E76A15E"/>
    <w:rsid w:val="3F4F2808"/>
    <w:rsid w:val="3FBE4494"/>
    <w:rsid w:val="3FF7B880"/>
    <w:rsid w:val="3FFF7DB8"/>
    <w:rsid w:val="45DD3B16"/>
    <w:rsid w:val="473EEB98"/>
    <w:rsid w:val="47F5A957"/>
    <w:rsid w:val="4AF90F22"/>
    <w:rsid w:val="4E5A9835"/>
    <w:rsid w:val="4F5FAE4E"/>
    <w:rsid w:val="4FF79029"/>
    <w:rsid w:val="536D2310"/>
    <w:rsid w:val="53DF44DB"/>
    <w:rsid w:val="57751EDA"/>
    <w:rsid w:val="59DDC416"/>
    <w:rsid w:val="5AFF35E3"/>
    <w:rsid w:val="5BFAF83D"/>
    <w:rsid w:val="5DDD68DD"/>
    <w:rsid w:val="5EE78122"/>
    <w:rsid w:val="5F3F0848"/>
    <w:rsid w:val="5FB736BF"/>
    <w:rsid w:val="5FBBC698"/>
    <w:rsid w:val="5FED7563"/>
    <w:rsid w:val="5FEF3734"/>
    <w:rsid w:val="67ABAEC4"/>
    <w:rsid w:val="697F5E3D"/>
    <w:rsid w:val="6AB639A9"/>
    <w:rsid w:val="6B6B80BA"/>
    <w:rsid w:val="6B7B8D06"/>
    <w:rsid w:val="6BFEAD3B"/>
    <w:rsid w:val="6C7DE282"/>
    <w:rsid w:val="6C7F8218"/>
    <w:rsid w:val="6CFFA59A"/>
    <w:rsid w:val="6EEF91F2"/>
    <w:rsid w:val="6FB35FB4"/>
    <w:rsid w:val="6FB6A9AC"/>
    <w:rsid w:val="6FF9F579"/>
    <w:rsid w:val="6FFDB429"/>
    <w:rsid w:val="71EB791B"/>
    <w:rsid w:val="73FF8AE0"/>
    <w:rsid w:val="76DF1728"/>
    <w:rsid w:val="76FF2558"/>
    <w:rsid w:val="772DA665"/>
    <w:rsid w:val="777BA64F"/>
    <w:rsid w:val="778FEC03"/>
    <w:rsid w:val="77E3908F"/>
    <w:rsid w:val="77EE37BB"/>
    <w:rsid w:val="77EEBBB4"/>
    <w:rsid w:val="77FBD96F"/>
    <w:rsid w:val="77FF2C1D"/>
    <w:rsid w:val="77FF2E7C"/>
    <w:rsid w:val="77FF7B82"/>
    <w:rsid w:val="7A95A35D"/>
    <w:rsid w:val="7BF3121C"/>
    <w:rsid w:val="7CB7C46A"/>
    <w:rsid w:val="7CFF43B3"/>
    <w:rsid w:val="7D2E4D19"/>
    <w:rsid w:val="7D6FC9A3"/>
    <w:rsid w:val="7D7484DA"/>
    <w:rsid w:val="7DB7D6BC"/>
    <w:rsid w:val="7DFB4AA9"/>
    <w:rsid w:val="7DFEC16B"/>
    <w:rsid w:val="7DFEC945"/>
    <w:rsid w:val="7DFF875C"/>
    <w:rsid w:val="7E4E0154"/>
    <w:rsid w:val="7F3F069C"/>
    <w:rsid w:val="7F6D1E82"/>
    <w:rsid w:val="7F7FF880"/>
    <w:rsid w:val="7FB1E8DD"/>
    <w:rsid w:val="7FBE2A9B"/>
    <w:rsid w:val="7FE4A8E8"/>
    <w:rsid w:val="7FEAAFD4"/>
    <w:rsid w:val="7FEF3BC8"/>
    <w:rsid w:val="7FF7565F"/>
    <w:rsid w:val="7FF78AB8"/>
    <w:rsid w:val="7FFBA3CB"/>
    <w:rsid w:val="7FFBEC50"/>
    <w:rsid w:val="8D7ED064"/>
    <w:rsid w:val="8FB71013"/>
    <w:rsid w:val="8FF6CE23"/>
    <w:rsid w:val="966581AE"/>
    <w:rsid w:val="96D3CB12"/>
    <w:rsid w:val="97FFD561"/>
    <w:rsid w:val="9BFFA190"/>
    <w:rsid w:val="9F66DC04"/>
    <w:rsid w:val="9F7EEB6F"/>
    <w:rsid w:val="9F7FB44A"/>
    <w:rsid w:val="9FA3F935"/>
    <w:rsid w:val="9FDF4485"/>
    <w:rsid w:val="A5F7D6AA"/>
    <w:rsid w:val="AB7FC2F7"/>
    <w:rsid w:val="AB9652A5"/>
    <w:rsid w:val="AEF7AFEA"/>
    <w:rsid w:val="AF3F3014"/>
    <w:rsid w:val="AFFDC403"/>
    <w:rsid w:val="B34CA7E6"/>
    <w:rsid w:val="B797D76D"/>
    <w:rsid w:val="B9FE7B29"/>
    <w:rsid w:val="BBF76DE1"/>
    <w:rsid w:val="BBFEF98D"/>
    <w:rsid w:val="BD3DCEEB"/>
    <w:rsid w:val="BD7F2D66"/>
    <w:rsid w:val="BDDDFF57"/>
    <w:rsid w:val="BF7E80FE"/>
    <w:rsid w:val="BFAE3154"/>
    <w:rsid w:val="BFAE688D"/>
    <w:rsid w:val="BFBD546B"/>
    <w:rsid w:val="BFBE9345"/>
    <w:rsid w:val="BFD7E1B0"/>
    <w:rsid w:val="BFDB24F7"/>
    <w:rsid w:val="BFDC1490"/>
    <w:rsid w:val="BFEB3817"/>
    <w:rsid w:val="C36D673D"/>
    <w:rsid w:val="C496F1E1"/>
    <w:rsid w:val="C7D3C395"/>
    <w:rsid w:val="CEB91277"/>
    <w:rsid w:val="CFFA9D12"/>
    <w:rsid w:val="CFFEFF75"/>
    <w:rsid w:val="CFFFAEF5"/>
    <w:rsid w:val="D67CD733"/>
    <w:rsid w:val="D7F7D6A0"/>
    <w:rsid w:val="D9BF4F4D"/>
    <w:rsid w:val="DA6B8C19"/>
    <w:rsid w:val="DAF3847E"/>
    <w:rsid w:val="DB36BFC7"/>
    <w:rsid w:val="DB5F37E4"/>
    <w:rsid w:val="DB9D7B1A"/>
    <w:rsid w:val="DBB77E95"/>
    <w:rsid w:val="DDCF1DD4"/>
    <w:rsid w:val="DDEF11F2"/>
    <w:rsid w:val="DFFB6A07"/>
    <w:rsid w:val="E4C72837"/>
    <w:rsid w:val="E5BB0526"/>
    <w:rsid w:val="E8749B31"/>
    <w:rsid w:val="E94FCBA9"/>
    <w:rsid w:val="EAE9B155"/>
    <w:rsid w:val="EAFF00FC"/>
    <w:rsid w:val="EAFF3868"/>
    <w:rsid w:val="EAFFB3D7"/>
    <w:rsid w:val="EDDFFE92"/>
    <w:rsid w:val="EEF5363A"/>
    <w:rsid w:val="EEF95BE4"/>
    <w:rsid w:val="EF538248"/>
    <w:rsid w:val="EF8776A5"/>
    <w:rsid w:val="EFD94935"/>
    <w:rsid w:val="F57F3203"/>
    <w:rsid w:val="F5B712DD"/>
    <w:rsid w:val="F5EF0B4D"/>
    <w:rsid w:val="F5EF8D72"/>
    <w:rsid w:val="F6DF4974"/>
    <w:rsid w:val="F6F6A79F"/>
    <w:rsid w:val="F7DFA74B"/>
    <w:rsid w:val="F7F65B06"/>
    <w:rsid w:val="F7FFB2FC"/>
    <w:rsid w:val="F9DE76F0"/>
    <w:rsid w:val="FDCA6DE9"/>
    <w:rsid w:val="FDDEBB88"/>
    <w:rsid w:val="FDE9DEF8"/>
    <w:rsid w:val="FDFA05E9"/>
    <w:rsid w:val="FDFD7D36"/>
    <w:rsid w:val="FDFE54C7"/>
    <w:rsid w:val="FEEBE888"/>
    <w:rsid w:val="FEEE5EE1"/>
    <w:rsid w:val="FEF3B1F7"/>
    <w:rsid w:val="FEFD001B"/>
    <w:rsid w:val="FEFEA839"/>
    <w:rsid w:val="FEFF533F"/>
    <w:rsid w:val="FF3FD4D9"/>
    <w:rsid w:val="FF77783C"/>
    <w:rsid w:val="FF7D67D5"/>
    <w:rsid w:val="FF7F7325"/>
    <w:rsid w:val="FFB96A80"/>
    <w:rsid w:val="FFBB6D87"/>
    <w:rsid w:val="FFD4FEB0"/>
    <w:rsid w:val="FFEE4E98"/>
    <w:rsid w:val="FFF1FE30"/>
    <w:rsid w:val="FFFB85AF"/>
    <w:rsid w:val="FFFBB5DE"/>
    <w:rsid w:val="FFFCE4FA"/>
    <w:rsid w:val="FFFD8D9F"/>
    <w:rsid w:val="FFFDA27E"/>
    <w:rsid w:val="FFFFE8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560" w:lineRule="exact"/>
      <w:ind w:firstLine="800" w:firstLineChars="200"/>
      <w:jc w:val="both"/>
    </w:pPr>
    <w:rPr>
      <w:rFonts w:ascii="Times New Roman" w:hAnsi="Times New Roman" w:eastAsia="仿宋" w:cstheme="minorBidi"/>
      <w:kern w:val="2"/>
      <w:sz w:val="32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3">
    <w:name w:val="annotation text"/>
    <w:basedOn w:val="1"/>
    <w:link w:val="11"/>
    <w:qFormat/>
    <w:uiPriority w:val="0"/>
    <w:pPr>
      <w:jc w:val="left"/>
    </w:p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</w:pPr>
    <w:rPr>
      <w:sz w:val="18"/>
    </w:rPr>
  </w:style>
  <w:style w:type="paragraph" w:styleId="6">
    <w:name w:val="annotation subject"/>
    <w:basedOn w:val="3"/>
    <w:next w:val="3"/>
    <w:link w:val="12"/>
    <w:qFormat/>
    <w:uiPriority w:val="0"/>
    <w:rPr>
      <w:b/>
      <w:bCs/>
    </w:rPr>
  </w:style>
  <w:style w:type="character" w:styleId="9">
    <w:name w:val="annotation reference"/>
    <w:basedOn w:val="8"/>
    <w:qFormat/>
    <w:uiPriority w:val="0"/>
    <w:rPr>
      <w:sz w:val="21"/>
      <w:szCs w:val="21"/>
    </w:rPr>
  </w:style>
  <w:style w:type="paragraph" w:customStyle="1" w:styleId="10">
    <w:name w:val="Revision"/>
    <w:hidden/>
    <w:unhideWhenUsed/>
    <w:qFormat/>
    <w:uiPriority w:val="99"/>
    <w:rPr>
      <w:rFonts w:ascii="Times New Roman" w:hAnsi="Times New Roman" w:eastAsia="仿宋" w:cstheme="minorBidi"/>
      <w:kern w:val="2"/>
      <w:sz w:val="32"/>
      <w:szCs w:val="24"/>
      <w:lang w:val="en-US" w:eastAsia="zh-CN" w:bidi="ar-SA"/>
    </w:rPr>
  </w:style>
  <w:style w:type="character" w:customStyle="1" w:styleId="11">
    <w:name w:val="批注文字 字符"/>
    <w:basedOn w:val="8"/>
    <w:link w:val="3"/>
    <w:qFormat/>
    <w:uiPriority w:val="0"/>
    <w:rPr>
      <w:rFonts w:eastAsia="仿宋" w:cstheme="minorBidi"/>
      <w:kern w:val="2"/>
      <w:sz w:val="32"/>
      <w:szCs w:val="24"/>
    </w:rPr>
  </w:style>
  <w:style w:type="character" w:customStyle="1" w:styleId="12">
    <w:name w:val="批注主题 字符"/>
    <w:basedOn w:val="11"/>
    <w:link w:val="6"/>
    <w:qFormat/>
    <w:uiPriority w:val="0"/>
    <w:rPr>
      <w:rFonts w:eastAsia="仿宋" w:cstheme="minorBidi"/>
      <w:b/>
      <w:bCs/>
      <w:kern w:val="2"/>
      <w:sz w:val="32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164</Words>
  <Characters>941</Characters>
  <Lines>7</Lines>
  <Paragraphs>2</Paragraphs>
  <TotalTime>10</TotalTime>
  <ScaleCrop>false</ScaleCrop>
  <LinksUpToDate>false</LinksUpToDate>
  <CharactersWithSpaces>1103</CharactersWithSpaces>
  <Application>WPS Office_11.8.2.9695_F1E327BC-269C-435d-A152-05C5408002CA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2023-09-16T06:22:00Z</dcterms:created>
  <dc:creator>chenwei</dc:creator>
  <cp:lastModifiedBy>shikl</cp:lastModifiedBy>
  <cp:lastPrinted>2024-04-24T09:00:00Z</cp:lastPrinted>
  <dcterms:modified xsi:type="dcterms:W3CDTF">2024-05-06T09:35:03Z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2052-11.8.2.9695</vt:lpwstr>
  </property>
</Properties>
</file>