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rPr>
      </w:pPr>
      <w:bookmarkStart w:id="0" w:name="_GoBack"/>
      <w:bookmarkEnd w:id="0"/>
    </w:p>
    <w:p>
      <w:pPr>
        <w:pStyle w:val="2"/>
        <w:bidi w:val="0"/>
        <w:jc w:val="center"/>
        <w:rPr>
          <w:rFonts w:hint="eastAsia" w:eastAsia="宋体"/>
          <w:lang w:eastAsia="zh-CN"/>
        </w:rPr>
      </w:pPr>
      <w:r>
        <w:rPr>
          <w:rFonts w:hint="eastAsia"/>
        </w:rPr>
        <w:t>江苏</w:t>
      </w:r>
      <w:r>
        <w:rPr>
          <w:rFonts w:hint="eastAsia"/>
          <w:lang w:eastAsia="zh-CN"/>
        </w:rPr>
        <w:t>省</w:t>
      </w:r>
      <w:r>
        <w:rPr>
          <w:rFonts w:hint="eastAsia"/>
        </w:rPr>
        <w:t>省级农田建设补助资金管理</w:t>
      </w:r>
      <w:r>
        <w:rPr>
          <w:rFonts w:hint="eastAsia"/>
          <w:lang w:eastAsia="zh-CN"/>
        </w:rPr>
        <w:t>办法</w:t>
      </w:r>
    </w:p>
    <w:p>
      <w:pPr>
        <w:pageBreakBefore w:val="0"/>
        <w:widowControl w:val="0"/>
        <w:kinsoku/>
        <w:wordWrap/>
        <w:overflowPunct/>
        <w:topLinePunct w:val="0"/>
        <w:autoSpaceDE/>
        <w:autoSpaceDN/>
        <w:bidi w:val="0"/>
        <w:adjustRightInd/>
        <w:snapToGrid/>
        <w:spacing w:line="580" w:lineRule="exact"/>
        <w:ind w:left="0" w:leftChars="0" w:firstLine="0" w:firstLineChars="0"/>
        <w:jc w:val="center"/>
        <w:textAlignment w:val="auto"/>
        <w:rPr>
          <w:rFonts w:hint="eastAsia" w:ascii="楷体" w:hAnsi="楷体" w:eastAsia="楷体" w:cs="楷体"/>
          <w:sz w:val="32"/>
          <w:szCs w:val="32"/>
          <w:lang w:val="en-US" w:eastAsia="zh-CN"/>
        </w:rPr>
      </w:pPr>
      <w:r>
        <w:rPr>
          <w:rFonts w:hint="eastAsia" w:ascii="楷体" w:hAnsi="楷体" w:eastAsia="楷体" w:cs="楷体"/>
          <w:sz w:val="32"/>
          <w:szCs w:val="32"/>
          <w:lang w:val="en-US" w:eastAsia="zh-CN"/>
        </w:rPr>
        <w:t>(征求意见稿）</w:t>
      </w:r>
    </w:p>
    <w:p>
      <w:pPr>
        <w:pageBreakBefore w:val="0"/>
        <w:widowControl w:val="0"/>
        <w:numPr>
          <w:ilvl w:val="0"/>
          <w:numId w:val="0"/>
        </w:numPr>
        <w:kinsoku/>
        <w:wordWrap/>
        <w:overflowPunct/>
        <w:topLinePunct w:val="0"/>
        <w:autoSpaceDE/>
        <w:autoSpaceDN/>
        <w:bidi w:val="0"/>
        <w:adjustRightInd/>
        <w:snapToGrid/>
        <w:spacing w:line="580" w:lineRule="exact"/>
        <w:jc w:val="center"/>
        <w:textAlignment w:val="auto"/>
        <w:rPr>
          <w:rFonts w:hint="eastAsia" w:ascii="黑体" w:hAnsi="黑体" w:eastAsia="黑体" w:cs="黑体"/>
          <w:sz w:val="32"/>
          <w:szCs w:val="32"/>
        </w:rPr>
      </w:pPr>
      <w:r>
        <w:rPr>
          <w:rFonts w:hint="eastAsia" w:ascii="黑体" w:hAnsi="黑体" w:eastAsia="黑体" w:cs="黑体"/>
          <w:sz w:val="32"/>
          <w:szCs w:val="32"/>
          <w:lang w:val="en-US" w:eastAsia="zh-CN"/>
        </w:rPr>
        <w:t xml:space="preserve">第一章 </w:t>
      </w:r>
      <w:r>
        <w:rPr>
          <w:rFonts w:hint="eastAsia" w:ascii="黑体" w:hAnsi="黑体" w:eastAsia="黑体" w:cs="黑体"/>
          <w:sz w:val="32"/>
          <w:szCs w:val="32"/>
        </w:rPr>
        <w:t>总则</w:t>
      </w:r>
    </w:p>
    <w:p>
      <w:pPr>
        <w:pageBreakBefore w:val="0"/>
        <w:widowControl w:val="0"/>
        <w:numPr>
          <w:ilvl w:val="0"/>
          <w:numId w:val="0"/>
        </w:numPr>
        <w:kinsoku/>
        <w:wordWrap/>
        <w:overflowPunct/>
        <w:topLinePunct w:val="0"/>
        <w:autoSpaceDE/>
        <w:autoSpaceDN/>
        <w:bidi w:val="0"/>
        <w:adjustRightInd/>
        <w:snapToGrid/>
        <w:spacing w:line="580" w:lineRule="exact"/>
        <w:jc w:val="both"/>
        <w:textAlignment w:val="auto"/>
        <w:rPr>
          <w:rFonts w:hint="eastAsia" w:ascii="黑体" w:hAnsi="黑体" w:eastAsia="黑体" w:cs="黑体"/>
          <w:sz w:val="32"/>
          <w:szCs w:val="32"/>
        </w:rPr>
      </w:pPr>
    </w:p>
    <w:p>
      <w:pPr>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第一条</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为规范和加强</w:t>
      </w:r>
      <w:r>
        <w:rPr>
          <w:rFonts w:hint="eastAsia" w:ascii="仿宋" w:hAnsi="仿宋" w:eastAsia="仿宋" w:cs="仿宋"/>
          <w:sz w:val="32"/>
          <w:szCs w:val="32"/>
          <w:lang w:eastAsia="zh-CN"/>
        </w:rPr>
        <w:t>江苏省省级</w:t>
      </w:r>
      <w:r>
        <w:rPr>
          <w:rFonts w:hint="eastAsia" w:ascii="仿宋" w:hAnsi="仿宋" w:eastAsia="仿宋" w:cs="仿宋"/>
          <w:sz w:val="32"/>
          <w:szCs w:val="32"/>
        </w:rPr>
        <w:t>农田建设补助资金管理，</w:t>
      </w:r>
      <w:r>
        <w:rPr>
          <w:rFonts w:hint="eastAsia" w:ascii="仿宋" w:hAnsi="仿宋" w:eastAsia="仿宋" w:cs="仿宋"/>
          <w:sz w:val="32"/>
          <w:szCs w:val="32"/>
          <w:lang w:eastAsia="zh-CN"/>
        </w:rPr>
        <w:t>切实</w:t>
      </w:r>
      <w:r>
        <w:rPr>
          <w:rFonts w:hint="eastAsia" w:ascii="仿宋" w:hAnsi="仿宋" w:eastAsia="仿宋" w:cs="仿宋"/>
          <w:sz w:val="32"/>
          <w:szCs w:val="32"/>
        </w:rPr>
        <w:t>提高</w:t>
      </w:r>
      <w:r>
        <w:rPr>
          <w:rFonts w:hint="eastAsia" w:ascii="仿宋" w:hAnsi="仿宋" w:eastAsia="仿宋" w:cs="仿宋"/>
          <w:sz w:val="32"/>
          <w:szCs w:val="32"/>
          <w:lang w:eastAsia="zh-CN"/>
        </w:rPr>
        <w:t>财政</w:t>
      </w:r>
      <w:r>
        <w:rPr>
          <w:rFonts w:hint="eastAsia" w:ascii="仿宋" w:hAnsi="仿宋" w:eastAsia="仿宋" w:cs="仿宋"/>
          <w:sz w:val="32"/>
          <w:szCs w:val="32"/>
        </w:rPr>
        <w:t>资金使用效益，提升农业综合生产能力，根据《中华人民共和国预算法》、《农田建设补助资金管理办法》（财农〔2019〕46号）、《农田建设项目管理办法》（农业农村部令2019第4号）</w:t>
      </w:r>
      <w:r>
        <w:rPr>
          <w:rFonts w:hint="eastAsia" w:ascii="仿宋" w:hAnsi="仿宋" w:eastAsia="仿宋" w:cs="仿宋"/>
          <w:sz w:val="32"/>
          <w:szCs w:val="32"/>
          <w:lang w:eastAsia="zh-CN"/>
        </w:rPr>
        <w:t>、《农业相关转移支付资金绩效管理办法》</w:t>
      </w:r>
      <w:r>
        <w:rPr>
          <w:rFonts w:hint="eastAsia" w:ascii="仿宋" w:hAnsi="仿宋" w:eastAsia="仿宋" w:cs="仿宋"/>
          <w:sz w:val="32"/>
          <w:szCs w:val="32"/>
        </w:rPr>
        <w:t>（财农〔2019〕4</w:t>
      </w:r>
      <w:r>
        <w:rPr>
          <w:rFonts w:hint="eastAsia" w:ascii="仿宋" w:hAnsi="仿宋" w:eastAsia="仿宋" w:cs="仿宋"/>
          <w:sz w:val="32"/>
          <w:szCs w:val="32"/>
          <w:lang w:val="en-US" w:eastAsia="zh-CN"/>
        </w:rPr>
        <w:t>8</w:t>
      </w:r>
      <w:r>
        <w:rPr>
          <w:rFonts w:hint="eastAsia" w:ascii="仿宋" w:hAnsi="仿宋" w:eastAsia="仿宋" w:cs="仿宋"/>
          <w:sz w:val="32"/>
          <w:szCs w:val="32"/>
        </w:rPr>
        <w:t>号）等</w:t>
      </w:r>
      <w:r>
        <w:rPr>
          <w:rFonts w:hint="eastAsia" w:ascii="仿宋" w:hAnsi="仿宋" w:eastAsia="仿宋" w:cs="仿宋"/>
          <w:sz w:val="32"/>
          <w:szCs w:val="32"/>
          <w:lang w:eastAsia="zh-CN"/>
        </w:rPr>
        <w:t>有关法律法规和制度</w:t>
      </w:r>
      <w:r>
        <w:rPr>
          <w:rFonts w:hint="eastAsia" w:ascii="仿宋" w:hAnsi="仿宋" w:eastAsia="仿宋" w:cs="仿宋"/>
          <w:sz w:val="32"/>
          <w:szCs w:val="32"/>
        </w:rPr>
        <w:t>规定，制定本</w:t>
      </w:r>
      <w:r>
        <w:rPr>
          <w:rFonts w:hint="eastAsia" w:ascii="仿宋" w:hAnsi="仿宋" w:eastAsia="仿宋" w:cs="仿宋"/>
          <w:sz w:val="32"/>
          <w:szCs w:val="32"/>
          <w:lang w:eastAsia="zh-CN"/>
        </w:rPr>
        <w:t>办法</w:t>
      </w:r>
      <w:r>
        <w:rPr>
          <w:rFonts w:hint="eastAsia" w:ascii="仿宋" w:hAnsi="仿宋" w:eastAsia="仿宋" w:cs="仿宋"/>
          <w:sz w:val="32"/>
          <w:szCs w:val="32"/>
        </w:rPr>
        <w:t>。</w:t>
      </w:r>
    </w:p>
    <w:p>
      <w:pPr>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第二条</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本办法所称农田，是指按照一定时期人口和社会经济发展对农产品的需求，依据土地利用总体规划确定的用于农产品生产的耕地。</w:t>
      </w:r>
    </w:p>
    <w:p>
      <w:pPr>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第三条</w:t>
      </w:r>
      <w:r>
        <w:rPr>
          <w:rFonts w:hint="eastAsia" w:ascii="仿宋" w:hAnsi="仿宋" w:eastAsia="仿宋" w:cs="仿宋"/>
          <w:sz w:val="32"/>
          <w:szCs w:val="32"/>
          <w:lang w:val="en-US" w:eastAsia="zh-CN"/>
        </w:rPr>
        <w:t xml:space="preserve">  本办法所称江苏省省级</w:t>
      </w:r>
      <w:r>
        <w:rPr>
          <w:rFonts w:hint="eastAsia" w:ascii="仿宋" w:hAnsi="仿宋" w:eastAsia="仿宋" w:cs="仿宋"/>
          <w:sz w:val="32"/>
          <w:szCs w:val="32"/>
        </w:rPr>
        <w:t>农田建设补助资金是指</w:t>
      </w:r>
      <w:r>
        <w:rPr>
          <w:rFonts w:hint="eastAsia" w:ascii="仿宋" w:hAnsi="仿宋" w:eastAsia="仿宋" w:cs="仿宋"/>
          <w:sz w:val="32"/>
          <w:szCs w:val="32"/>
          <w:lang w:eastAsia="zh-CN"/>
        </w:rPr>
        <w:t>由省财政设立，纳入省级财政预算管理，</w:t>
      </w:r>
      <w:r>
        <w:rPr>
          <w:rFonts w:hint="eastAsia" w:ascii="仿宋" w:hAnsi="仿宋" w:eastAsia="仿宋" w:cs="仿宋"/>
          <w:sz w:val="32"/>
          <w:szCs w:val="32"/>
        </w:rPr>
        <w:t>为支持稳定和优化农田布局，全面提升农田质量而安排用于农田相关工程建设</w:t>
      </w:r>
      <w:r>
        <w:rPr>
          <w:rFonts w:hint="eastAsia" w:ascii="仿宋" w:hAnsi="仿宋" w:eastAsia="仿宋" w:cs="仿宋"/>
          <w:sz w:val="32"/>
          <w:szCs w:val="32"/>
          <w:lang w:eastAsia="zh-CN"/>
        </w:rPr>
        <w:t>的专项转移支付资金和共同财政事项转移支付</w:t>
      </w:r>
      <w:r>
        <w:rPr>
          <w:rFonts w:hint="eastAsia" w:ascii="仿宋" w:hAnsi="仿宋" w:eastAsia="仿宋" w:cs="仿宋"/>
          <w:sz w:val="32"/>
          <w:szCs w:val="32"/>
        </w:rPr>
        <w:t>资金</w:t>
      </w:r>
      <w:r>
        <w:rPr>
          <w:rFonts w:hint="eastAsia" w:ascii="仿宋" w:hAnsi="仿宋" w:eastAsia="仿宋" w:cs="仿宋"/>
          <w:sz w:val="32"/>
          <w:szCs w:val="32"/>
          <w:lang w:eastAsia="zh-CN"/>
        </w:rPr>
        <w:t>。</w:t>
      </w:r>
    </w:p>
    <w:p>
      <w:pPr>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中央</w:t>
      </w:r>
      <w:r>
        <w:rPr>
          <w:rFonts w:hint="eastAsia" w:ascii="仿宋" w:hAnsi="仿宋" w:eastAsia="仿宋" w:cs="仿宋"/>
          <w:sz w:val="32"/>
          <w:szCs w:val="32"/>
          <w:lang w:eastAsia="zh-CN"/>
        </w:rPr>
        <w:t>财政下达的农田建设补助资金与省级农田建设补助资金统筹安排使用，除中央财政另有规定外，适用本办法。</w:t>
      </w:r>
    </w:p>
    <w:p>
      <w:pPr>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rPr>
        <w:t>第四条</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农田建设补助资金</w:t>
      </w:r>
      <w:r>
        <w:rPr>
          <w:rFonts w:hint="eastAsia" w:ascii="仿宋" w:hAnsi="仿宋" w:eastAsia="仿宋" w:cs="仿宋"/>
          <w:sz w:val="32"/>
          <w:szCs w:val="32"/>
          <w:lang w:eastAsia="zh-CN"/>
        </w:rPr>
        <w:t>实施期限至</w:t>
      </w:r>
      <w:r>
        <w:rPr>
          <w:rFonts w:hint="eastAsia" w:ascii="仿宋" w:hAnsi="仿宋" w:eastAsia="仿宋" w:cs="仿宋"/>
          <w:sz w:val="32"/>
          <w:szCs w:val="32"/>
          <w:lang w:val="en-US" w:eastAsia="zh-CN"/>
        </w:rPr>
        <w:t>2022年。到期前由省财政厅会同省农业农村厅评估确定是否继续实施</w:t>
      </w:r>
      <w:r>
        <w:rPr>
          <w:rFonts w:hint="default" w:ascii="仿宋" w:hAnsi="仿宋" w:eastAsia="仿宋" w:cs="仿宋"/>
          <w:sz w:val="32"/>
          <w:szCs w:val="32"/>
          <w:lang w:val="en-US" w:eastAsia="zh-CN"/>
        </w:rPr>
        <w:t>和</w:t>
      </w:r>
      <w:r>
        <w:rPr>
          <w:rFonts w:hint="eastAsia" w:ascii="仿宋" w:hAnsi="仿宋" w:eastAsia="仿宋" w:cs="仿宋"/>
          <w:sz w:val="32"/>
          <w:szCs w:val="32"/>
          <w:lang w:val="en-US" w:eastAsia="zh-CN"/>
        </w:rPr>
        <w:t>延续期限。</w:t>
      </w:r>
    </w:p>
    <w:p>
      <w:pPr>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eastAsia="zh-CN"/>
        </w:rPr>
        <w:t>第五条</w:t>
      </w:r>
      <w:r>
        <w:rPr>
          <w:rFonts w:hint="eastAsia" w:ascii="仿宋" w:hAnsi="仿宋" w:eastAsia="仿宋" w:cs="仿宋"/>
          <w:sz w:val="32"/>
          <w:szCs w:val="32"/>
          <w:lang w:val="en-US" w:eastAsia="zh-CN"/>
        </w:rPr>
        <w:t xml:space="preserve"> </w:t>
      </w:r>
      <w:r>
        <w:rPr>
          <w:rFonts w:hint="eastAsia" w:ascii="仿宋" w:hAnsi="仿宋" w:eastAsia="仿宋" w:cs="仿宋"/>
          <w:sz w:val="32"/>
          <w:szCs w:val="32"/>
          <w:lang w:eastAsia="zh-CN"/>
        </w:rPr>
        <w:t>省</w:t>
      </w:r>
      <w:r>
        <w:rPr>
          <w:rFonts w:hint="eastAsia" w:ascii="仿宋" w:hAnsi="仿宋" w:eastAsia="仿宋" w:cs="仿宋"/>
          <w:sz w:val="32"/>
          <w:szCs w:val="32"/>
        </w:rPr>
        <w:t>财政</w:t>
      </w:r>
      <w:r>
        <w:rPr>
          <w:rFonts w:hint="eastAsia" w:ascii="仿宋" w:hAnsi="仿宋" w:eastAsia="仿宋" w:cs="仿宋"/>
          <w:sz w:val="32"/>
          <w:szCs w:val="32"/>
          <w:lang w:eastAsia="zh-CN"/>
        </w:rPr>
        <w:t>厅</w:t>
      </w:r>
      <w:r>
        <w:rPr>
          <w:rFonts w:hint="eastAsia" w:ascii="仿宋" w:hAnsi="仿宋" w:eastAsia="仿宋" w:cs="仿宋"/>
          <w:sz w:val="32"/>
          <w:szCs w:val="32"/>
        </w:rPr>
        <w:t>会同</w:t>
      </w:r>
      <w:r>
        <w:rPr>
          <w:rFonts w:hint="eastAsia" w:ascii="仿宋" w:hAnsi="仿宋" w:eastAsia="仿宋" w:cs="仿宋"/>
          <w:sz w:val="32"/>
          <w:szCs w:val="32"/>
          <w:lang w:eastAsia="zh-CN"/>
        </w:rPr>
        <w:t>省</w:t>
      </w:r>
      <w:r>
        <w:rPr>
          <w:rFonts w:hint="eastAsia" w:ascii="仿宋" w:hAnsi="仿宋" w:eastAsia="仿宋" w:cs="仿宋"/>
          <w:sz w:val="32"/>
          <w:szCs w:val="32"/>
        </w:rPr>
        <w:t>农业农村</w:t>
      </w:r>
      <w:r>
        <w:rPr>
          <w:rFonts w:hint="eastAsia" w:ascii="仿宋" w:hAnsi="仿宋" w:eastAsia="仿宋" w:cs="仿宋"/>
          <w:sz w:val="32"/>
          <w:szCs w:val="32"/>
          <w:lang w:eastAsia="zh-CN"/>
        </w:rPr>
        <w:t>厅</w:t>
      </w:r>
      <w:r>
        <w:rPr>
          <w:rFonts w:hint="eastAsia" w:ascii="仿宋" w:hAnsi="仿宋" w:eastAsia="仿宋" w:cs="仿宋"/>
          <w:sz w:val="32"/>
          <w:szCs w:val="32"/>
        </w:rPr>
        <w:t>按照“政策目标明确、分配办法科学、支出方向协调、管理监督有力、绩效结果导向”的原则分配、使用和管理农田建设补助资金</w:t>
      </w:r>
      <w:r>
        <w:rPr>
          <w:rFonts w:hint="eastAsia" w:ascii="仿宋" w:hAnsi="仿宋" w:eastAsia="仿宋" w:cs="仿宋"/>
          <w:sz w:val="32"/>
          <w:szCs w:val="32"/>
          <w:lang w:eastAsia="zh-CN"/>
        </w:rPr>
        <w:t>，并</w:t>
      </w:r>
      <w:r>
        <w:rPr>
          <w:rFonts w:hint="eastAsia" w:ascii="仿宋" w:hAnsi="仿宋" w:eastAsia="仿宋" w:cs="仿宋"/>
          <w:sz w:val="32"/>
          <w:szCs w:val="32"/>
        </w:rPr>
        <w:t>按照相关管理规定定期开展评估。</w:t>
      </w:r>
    </w:p>
    <w:p>
      <w:pPr>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p>
    <w:p>
      <w:pPr>
        <w:pageBreakBefore w:val="0"/>
        <w:widowControl w:val="0"/>
        <w:numPr>
          <w:ilvl w:val="0"/>
          <w:numId w:val="0"/>
        </w:numPr>
        <w:kinsoku/>
        <w:wordWrap/>
        <w:overflowPunct/>
        <w:topLinePunct w:val="0"/>
        <w:autoSpaceDE/>
        <w:autoSpaceDN/>
        <w:bidi w:val="0"/>
        <w:adjustRightInd/>
        <w:snapToGrid/>
        <w:spacing w:line="580" w:lineRule="exact"/>
        <w:jc w:val="center"/>
        <w:textAlignment w:val="auto"/>
        <w:rPr>
          <w:rFonts w:hint="eastAsia" w:ascii="黑体" w:hAnsi="黑体" w:eastAsia="黑体" w:cs="黑体"/>
          <w:sz w:val="32"/>
          <w:szCs w:val="32"/>
        </w:rPr>
      </w:pPr>
      <w:r>
        <w:rPr>
          <w:rFonts w:hint="eastAsia" w:ascii="黑体" w:hAnsi="黑体" w:eastAsia="黑体" w:cs="黑体"/>
          <w:sz w:val="32"/>
          <w:szCs w:val="32"/>
          <w:lang w:val="en-US" w:eastAsia="zh-CN"/>
        </w:rPr>
        <w:t xml:space="preserve">第二章 </w:t>
      </w:r>
      <w:r>
        <w:rPr>
          <w:rFonts w:hint="eastAsia" w:ascii="黑体" w:hAnsi="黑体" w:eastAsia="黑体" w:cs="黑体"/>
          <w:sz w:val="32"/>
          <w:szCs w:val="32"/>
          <w:lang w:eastAsia="zh-CN"/>
        </w:rPr>
        <w:t>管理职责</w:t>
      </w:r>
    </w:p>
    <w:p>
      <w:pPr>
        <w:pageBreakBefore w:val="0"/>
        <w:widowControl w:val="0"/>
        <w:numPr>
          <w:ilvl w:val="0"/>
          <w:numId w:val="0"/>
        </w:numPr>
        <w:kinsoku/>
        <w:wordWrap/>
        <w:overflowPunct/>
        <w:topLinePunct w:val="0"/>
        <w:autoSpaceDE/>
        <w:autoSpaceDN/>
        <w:bidi w:val="0"/>
        <w:adjustRightInd/>
        <w:snapToGrid/>
        <w:spacing w:line="580" w:lineRule="exact"/>
        <w:ind w:leftChars="0"/>
        <w:jc w:val="center"/>
        <w:textAlignment w:val="auto"/>
        <w:rPr>
          <w:rFonts w:hint="eastAsia" w:ascii="黑体" w:hAnsi="黑体" w:eastAsia="黑体" w:cs="黑体"/>
          <w:sz w:val="32"/>
          <w:szCs w:val="32"/>
        </w:rPr>
      </w:pPr>
    </w:p>
    <w:p>
      <w:pPr>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第</w:t>
      </w:r>
      <w:r>
        <w:rPr>
          <w:rFonts w:hint="eastAsia" w:ascii="仿宋" w:hAnsi="仿宋" w:eastAsia="仿宋" w:cs="仿宋"/>
          <w:sz w:val="32"/>
          <w:szCs w:val="32"/>
          <w:lang w:eastAsia="zh-CN"/>
        </w:rPr>
        <w:t>六</w:t>
      </w:r>
      <w:r>
        <w:rPr>
          <w:rFonts w:hint="eastAsia" w:ascii="仿宋" w:hAnsi="仿宋" w:eastAsia="仿宋" w:cs="仿宋"/>
          <w:sz w:val="32"/>
          <w:szCs w:val="32"/>
        </w:rPr>
        <w:t>条</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省财政厅、省农业农村厅按照各自职能分工</w:t>
      </w:r>
      <w:r>
        <w:rPr>
          <w:rFonts w:hint="eastAsia" w:ascii="仿宋" w:hAnsi="仿宋" w:eastAsia="仿宋" w:cs="仿宋"/>
          <w:sz w:val="32"/>
          <w:szCs w:val="32"/>
          <w:lang w:eastAsia="zh-CN"/>
        </w:rPr>
        <w:t>，各负其责，密切配合，协同</w:t>
      </w:r>
      <w:r>
        <w:rPr>
          <w:rFonts w:hint="eastAsia" w:ascii="仿宋" w:hAnsi="仿宋" w:eastAsia="仿宋" w:cs="仿宋"/>
          <w:sz w:val="32"/>
          <w:szCs w:val="32"/>
        </w:rPr>
        <w:t>做好农田建设</w:t>
      </w:r>
      <w:r>
        <w:rPr>
          <w:rFonts w:hint="eastAsia" w:ascii="仿宋" w:hAnsi="仿宋" w:eastAsia="仿宋" w:cs="仿宋"/>
          <w:sz w:val="32"/>
          <w:szCs w:val="32"/>
          <w:lang w:eastAsia="zh-CN"/>
        </w:rPr>
        <w:t>补助</w:t>
      </w:r>
      <w:r>
        <w:rPr>
          <w:rFonts w:hint="eastAsia" w:ascii="仿宋" w:hAnsi="仿宋" w:eastAsia="仿宋" w:cs="仿宋"/>
          <w:sz w:val="32"/>
          <w:szCs w:val="32"/>
        </w:rPr>
        <w:t>资金的使用和管理工作。</w:t>
      </w:r>
    </w:p>
    <w:p>
      <w:pPr>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（一）省财政厅职责：负责</w:t>
      </w:r>
      <w:r>
        <w:rPr>
          <w:rFonts w:hint="eastAsia" w:ascii="仿宋" w:hAnsi="仿宋" w:eastAsia="仿宋" w:cs="仿宋"/>
          <w:sz w:val="32"/>
          <w:szCs w:val="32"/>
          <w:lang w:eastAsia="zh-CN"/>
        </w:rPr>
        <w:t>编制</w:t>
      </w:r>
      <w:r>
        <w:rPr>
          <w:rFonts w:hint="eastAsia" w:ascii="仿宋" w:hAnsi="仿宋" w:eastAsia="仿宋" w:cs="仿宋"/>
          <w:sz w:val="32"/>
          <w:szCs w:val="32"/>
        </w:rPr>
        <w:t>农田建设补助资金预算；会同省农业农村厅制定资金管理办法；对省农业农村厅提交的资金分配建议</w:t>
      </w:r>
      <w:r>
        <w:rPr>
          <w:rFonts w:hint="eastAsia" w:ascii="仿宋" w:hAnsi="仿宋" w:eastAsia="仿宋" w:cs="仿宋"/>
          <w:sz w:val="32"/>
          <w:szCs w:val="32"/>
          <w:lang w:eastAsia="zh-CN"/>
        </w:rPr>
        <w:t>计划</w:t>
      </w:r>
      <w:r>
        <w:rPr>
          <w:rFonts w:hint="eastAsia" w:ascii="仿宋" w:hAnsi="仿宋" w:eastAsia="仿宋" w:cs="仿宋"/>
          <w:sz w:val="32"/>
          <w:szCs w:val="32"/>
        </w:rPr>
        <w:t>进行审核并下达资金；对资金使用情况进行监督</w:t>
      </w:r>
      <w:r>
        <w:rPr>
          <w:rFonts w:hint="eastAsia" w:ascii="仿宋" w:hAnsi="仿宋" w:eastAsia="仿宋" w:cs="仿宋"/>
          <w:sz w:val="32"/>
          <w:szCs w:val="32"/>
          <w:lang w:eastAsia="zh-CN"/>
        </w:rPr>
        <w:t>管理</w:t>
      </w:r>
      <w:r>
        <w:rPr>
          <w:rFonts w:hint="eastAsia" w:ascii="仿宋" w:hAnsi="仿宋" w:eastAsia="仿宋" w:cs="仿宋"/>
          <w:sz w:val="32"/>
          <w:szCs w:val="32"/>
        </w:rPr>
        <w:t>；负责</w:t>
      </w:r>
      <w:r>
        <w:rPr>
          <w:rFonts w:hint="eastAsia" w:ascii="仿宋" w:hAnsi="仿宋" w:eastAsia="仿宋" w:cs="仿宋"/>
          <w:sz w:val="32"/>
          <w:szCs w:val="32"/>
          <w:lang w:eastAsia="zh-CN"/>
        </w:rPr>
        <w:t>财政</w:t>
      </w:r>
      <w:r>
        <w:rPr>
          <w:rFonts w:hint="eastAsia" w:ascii="仿宋" w:hAnsi="仿宋" w:eastAsia="仿宋" w:cs="仿宋"/>
          <w:sz w:val="32"/>
          <w:szCs w:val="32"/>
        </w:rPr>
        <w:t>资金绩效管理总体工作</w:t>
      </w:r>
      <w:r>
        <w:rPr>
          <w:rFonts w:hint="eastAsia" w:ascii="仿宋" w:hAnsi="仿宋" w:eastAsia="仿宋" w:cs="仿宋"/>
          <w:sz w:val="32"/>
          <w:szCs w:val="32"/>
          <w:lang w:eastAsia="zh-CN"/>
        </w:rPr>
        <w:t>，复核省农业农村厅设定的绩效目标和绩效评价结果，确定绩效评价结果的运用</w:t>
      </w:r>
      <w:r>
        <w:rPr>
          <w:rFonts w:hint="eastAsia" w:ascii="仿宋" w:hAnsi="仿宋" w:eastAsia="仿宋" w:cs="仿宋"/>
          <w:sz w:val="32"/>
          <w:szCs w:val="32"/>
        </w:rPr>
        <w:t>；</w:t>
      </w:r>
      <w:r>
        <w:rPr>
          <w:rFonts w:hint="eastAsia" w:ascii="仿宋" w:hAnsi="仿宋" w:eastAsia="仿宋" w:cs="仿宋"/>
          <w:sz w:val="32"/>
          <w:szCs w:val="32"/>
          <w:lang w:eastAsia="zh-CN"/>
        </w:rPr>
        <w:t>指导市县加强资金管理；</w:t>
      </w:r>
      <w:r>
        <w:rPr>
          <w:rFonts w:hint="eastAsia" w:ascii="仿宋" w:hAnsi="仿宋" w:eastAsia="仿宋" w:cs="仿宋"/>
          <w:sz w:val="32"/>
          <w:szCs w:val="32"/>
        </w:rPr>
        <w:t>依法依规</w:t>
      </w:r>
      <w:r>
        <w:rPr>
          <w:rFonts w:hint="eastAsia" w:ascii="仿宋" w:hAnsi="仿宋" w:eastAsia="仿宋" w:cs="仿宋"/>
          <w:sz w:val="32"/>
          <w:szCs w:val="32"/>
          <w:lang w:eastAsia="zh-CN"/>
        </w:rPr>
        <w:t>公开</w:t>
      </w:r>
      <w:r>
        <w:rPr>
          <w:rFonts w:hint="eastAsia" w:ascii="仿宋" w:hAnsi="仿宋" w:eastAsia="仿宋" w:cs="仿宋"/>
          <w:sz w:val="32"/>
          <w:szCs w:val="32"/>
        </w:rPr>
        <w:t>专项资金</w:t>
      </w:r>
      <w:r>
        <w:rPr>
          <w:rFonts w:hint="eastAsia" w:ascii="仿宋" w:hAnsi="仿宋" w:eastAsia="仿宋" w:cs="仿宋"/>
          <w:sz w:val="32"/>
          <w:szCs w:val="32"/>
          <w:lang w:eastAsia="zh-CN"/>
        </w:rPr>
        <w:t>相关</w:t>
      </w:r>
      <w:r>
        <w:rPr>
          <w:rFonts w:hint="eastAsia" w:ascii="仿宋" w:hAnsi="仿宋" w:eastAsia="仿宋" w:cs="仿宋"/>
          <w:sz w:val="32"/>
          <w:szCs w:val="32"/>
        </w:rPr>
        <w:t>信息等。</w:t>
      </w:r>
    </w:p>
    <w:p>
      <w:pPr>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（二）省农业农村厅职责：</w:t>
      </w:r>
      <w:r>
        <w:rPr>
          <w:rFonts w:hint="eastAsia" w:ascii="仿宋" w:hAnsi="仿宋" w:eastAsia="仿宋" w:cs="仿宋"/>
          <w:sz w:val="32"/>
          <w:szCs w:val="32"/>
          <w:lang w:eastAsia="zh-CN"/>
        </w:rPr>
        <w:t>负责农田建设相关规划的编制和年度实施计划的批复；</w:t>
      </w:r>
      <w:r>
        <w:rPr>
          <w:rFonts w:hint="eastAsia" w:ascii="仿宋" w:hAnsi="仿宋" w:eastAsia="仿宋" w:cs="仿宋"/>
          <w:sz w:val="32"/>
          <w:szCs w:val="32"/>
        </w:rPr>
        <w:t>参与制定资金管理办法；</w:t>
      </w:r>
      <w:r>
        <w:rPr>
          <w:rFonts w:hint="eastAsia" w:ascii="仿宋" w:hAnsi="仿宋" w:eastAsia="仿宋" w:cs="仿宋"/>
          <w:sz w:val="32"/>
          <w:szCs w:val="32"/>
          <w:lang w:eastAsia="zh-CN"/>
        </w:rPr>
        <w:t>建立健全</w:t>
      </w:r>
      <w:r>
        <w:rPr>
          <w:rFonts w:hint="eastAsia" w:ascii="仿宋" w:hAnsi="仿宋" w:eastAsia="仿宋" w:cs="仿宋"/>
          <w:sz w:val="32"/>
          <w:szCs w:val="32"/>
        </w:rPr>
        <w:t>农田建设项目管理制度；提出资金分配建议方案</w:t>
      </w:r>
      <w:r>
        <w:rPr>
          <w:rFonts w:hint="eastAsia" w:ascii="仿宋" w:hAnsi="仿宋" w:eastAsia="仿宋" w:cs="仿宋"/>
          <w:sz w:val="32"/>
          <w:szCs w:val="32"/>
          <w:lang w:eastAsia="zh-CN"/>
        </w:rPr>
        <w:t>，下达年度工作任务清单</w:t>
      </w:r>
      <w:r>
        <w:rPr>
          <w:rFonts w:hint="eastAsia" w:ascii="仿宋" w:hAnsi="仿宋" w:eastAsia="仿宋" w:cs="仿宋"/>
          <w:sz w:val="32"/>
          <w:szCs w:val="32"/>
        </w:rPr>
        <w:t>；组织建立</w:t>
      </w:r>
      <w:r>
        <w:rPr>
          <w:rFonts w:hint="eastAsia" w:ascii="仿宋" w:hAnsi="仿宋" w:eastAsia="仿宋" w:cs="仿宋"/>
          <w:sz w:val="32"/>
          <w:szCs w:val="32"/>
          <w:lang w:eastAsia="zh-CN"/>
        </w:rPr>
        <w:t>全省</w:t>
      </w:r>
      <w:r>
        <w:rPr>
          <w:rFonts w:hint="eastAsia" w:ascii="仿宋" w:hAnsi="仿宋" w:eastAsia="仿宋" w:cs="仿宋"/>
          <w:sz w:val="32"/>
          <w:szCs w:val="32"/>
        </w:rPr>
        <w:t>农田建设项目库，</w:t>
      </w:r>
      <w:r>
        <w:rPr>
          <w:rFonts w:hint="eastAsia" w:ascii="仿宋" w:hAnsi="仿宋" w:eastAsia="仿宋" w:cs="仿宋"/>
          <w:sz w:val="32"/>
          <w:szCs w:val="32"/>
          <w:lang w:eastAsia="zh-CN"/>
        </w:rPr>
        <w:t>组织地方</w:t>
      </w:r>
      <w:r>
        <w:rPr>
          <w:rFonts w:hint="eastAsia" w:ascii="仿宋" w:hAnsi="仿宋" w:eastAsia="仿宋" w:cs="仿宋"/>
          <w:sz w:val="32"/>
          <w:szCs w:val="32"/>
        </w:rPr>
        <w:t>做好项目初步设计审批；组织开展项目竣工验收、监督检查；</w:t>
      </w:r>
      <w:r>
        <w:rPr>
          <w:rFonts w:hint="eastAsia" w:ascii="仿宋" w:hAnsi="仿宋" w:eastAsia="仿宋" w:cs="仿宋"/>
          <w:sz w:val="32"/>
          <w:szCs w:val="32"/>
          <w:lang w:eastAsia="zh-CN"/>
        </w:rPr>
        <w:t>负责项目绩效管理具体工作，确定绩效目标，开展绩效自评和绩效评价工作，提出绩效评价结果运用建议；</w:t>
      </w:r>
      <w:r>
        <w:rPr>
          <w:rFonts w:hint="eastAsia" w:ascii="仿宋" w:hAnsi="仿宋" w:eastAsia="仿宋" w:cs="仿宋"/>
          <w:sz w:val="32"/>
          <w:szCs w:val="32"/>
        </w:rPr>
        <w:t>依法依规</w:t>
      </w:r>
      <w:r>
        <w:rPr>
          <w:rFonts w:hint="eastAsia" w:ascii="仿宋" w:hAnsi="仿宋" w:eastAsia="仿宋" w:cs="仿宋"/>
          <w:sz w:val="32"/>
          <w:szCs w:val="32"/>
          <w:lang w:eastAsia="zh-CN"/>
        </w:rPr>
        <w:t>公开专项资金和</w:t>
      </w:r>
      <w:r>
        <w:rPr>
          <w:rFonts w:hint="eastAsia" w:ascii="仿宋" w:hAnsi="仿宋" w:eastAsia="仿宋" w:cs="仿宋"/>
          <w:sz w:val="32"/>
          <w:szCs w:val="32"/>
        </w:rPr>
        <w:t>项目</w:t>
      </w:r>
      <w:r>
        <w:rPr>
          <w:rFonts w:hint="eastAsia" w:ascii="仿宋" w:hAnsi="仿宋" w:eastAsia="仿宋" w:cs="仿宋"/>
          <w:sz w:val="32"/>
          <w:szCs w:val="32"/>
          <w:lang w:eastAsia="zh-CN"/>
        </w:rPr>
        <w:t>相关</w:t>
      </w:r>
      <w:r>
        <w:rPr>
          <w:rFonts w:hint="eastAsia" w:ascii="仿宋" w:hAnsi="仿宋" w:eastAsia="仿宋" w:cs="仿宋"/>
          <w:sz w:val="32"/>
          <w:szCs w:val="32"/>
        </w:rPr>
        <w:t>信息等。</w:t>
      </w:r>
    </w:p>
    <w:p>
      <w:pPr>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w:t>
      </w:r>
      <w:r>
        <w:rPr>
          <w:rFonts w:hint="eastAsia" w:ascii="仿宋" w:hAnsi="仿宋" w:eastAsia="仿宋" w:cs="仿宋"/>
          <w:sz w:val="32"/>
          <w:szCs w:val="32"/>
          <w:lang w:eastAsia="zh-CN"/>
        </w:rPr>
        <w:t>省以下财政部门、农业农村部门</w:t>
      </w:r>
      <w:r>
        <w:rPr>
          <w:rFonts w:hint="eastAsia" w:ascii="仿宋" w:hAnsi="仿宋" w:eastAsia="仿宋" w:cs="仿宋"/>
          <w:sz w:val="32"/>
          <w:szCs w:val="32"/>
        </w:rPr>
        <w:t>在</w:t>
      </w:r>
      <w:r>
        <w:rPr>
          <w:rFonts w:hint="eastAsia" w:ascii="仿宋" w:hAnsi="仿宋" w:eastAsia="仿宋" w:cs="仿宋"/>
          <w:sz w:val="32"/>
          <w:szCs w:val="32"/>
          <w:lang w:eastAsia="zh-CN"/>
        </w:rPr>
        <w:t>资金和</w:t>
      </w:r>
      <w:r>
        <w:rPr>
          <w:rFonts w:hint="eastAsia" w:ascii="仿宋" w:hAnsi="仿宋" w:eastAsia="仿宋" w:cs="仿宋"/>
          <w:sz w:val="32"/>
          <w:szCs w:val="32"/>
        </w:rPr>
        <w:t>项目</w:t>
      </w:r>
      <w:r>
        <w:rPr>
          <w:rFonts w:hint="eastAsia" w:ascii="仿宋" w:hAnsi="仿宋" w:eastAsia="仿宋" w:cs="仿宋"/>
          <w:sz w:val="32"/>
          <w:szCs w:val="32"/>
          <w:lang w:eastAsia="zh-CN"/>
        </w:rPr>
        <w:t>管理过程中的职责，由各地依据本办法，结合实际工作需要，参照省财政厅、省农业农村厅的分工，按照</w:t>
      </w:r>
      <w:r>
        <w:rPr>
          <w:rFonts w:hint="eastAsia" w:ascii="仿宋" w:hAnsi="仿宋" w:eastAsia="仿宋" w:cs="仿宋"/>
          <w:sz w:val="32"/>
          <w:szCs w:val="32"/>
        </w:rPr>
        <w:t>权责对等的原则，具体落实资金</w:t>
      </w:r>
      <w:r>
        <w:rPr>
          <w:rFonts w:hint="eastAsia" w:ascii="仿宋" w:hAnsi="仿宋" w:eastAsia="仿宋" w:cs="仿宋"/>
          <w:sz w:val="32"/>
          <w:szCs w:val="32"/>
          <w:lang w:eastAsia="zh-CN"/>
        </w:rPr>
        <w:t>和任务清单分解下达、资金使用管理、项目实施管理、绩效管理、监督等</w:t>
      </w:r>
      <w:r>
        <w:rPr>
          <w:rFonts w:hint="eastAsia" w:ascii="仿宋" w:hAnsi="仿宋" w:eastAsia="仿宋" w:cs="仿宋"/>
          <w:sz w:val="32"/>
          <w:szCs w:val="32"/>
        </w:rPr>
        <w:t>监管工作。</w:t>
      </w:r>
    </w:p>
    <w:p>
      <w:pPr>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第</w:t>
      </w:r>
      <w:r>
        <w:rPr>
          <w:rFonts w:hint="eastAsia" w:ascii="仿宋" w:hAnsi="仿宋" w:eastAsia="仿宋" w:cs="仿宋"/>
          <w:sz w:val="32"/>
          <w:szCs w:val="32"/>
          <w:lang w:eastAsia="zh-CN"/>
        </w:rPr>
        <w:t>七</w:t>
      </w:r>
      <w:r>
        <w:rPr>
          <w:rFonts w:hint="eastAsia" w:ascii="仿宋" w:hAnsi="仿宋" w:eastAsia="仿宋" w:cs="仿宋"/>
          <w:sz w:val="32"/>
          <w:szCs w:val="32"/>
        </w:rPr>
        <w:t>条</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中央、省级与地方财政共同承担农田建设支出责任，地方各级财政应当安排必要的资金投入农田建设，列入本级政府预算。鼓励</w:t>
      </w:r>
      <w:r>
        <w:rPr>
          <w:rFonts w:hint="eastAsia" w:ascii="仿宋" w:hAnsi="仿宋" w:eastAsia="仿宋" w:cs="仿宋"/>
          <w:sz w:val="32"/>
          <w:szCs w:val="32"/>
          <w:lang w:eastAsia="zh-CN"/>
        </w:rPr>
        <w:t>各地</w:t>
      </w:r>
      <w:r>
        <w:rPr>
          <w:rFonts w:hint="eastAsia" w:ascii="仿宋" w:hAnsi="仿宋" w:eastAsia="仿宋" w:cs="仿宋"/>
          <w:sz w:val="32"/>
          <w:szCs w:val="32"/>
        </w:rPr>
        <w:t>在</w:t>
      </w:r>
      <w:r>
        <w:rPr>
          <w:rFonts w:hint="eastAsia" w:ascii="仿宋" w:hAnsi="仿宋" w:eastAsia="仿宋" w:cs="仿宋"/>
          <w:sz w:val="32"/>
          <w:szCs w:val="32"/>
          <w:lang w:eastAsia="zh-CN"/>
        </w:rPr>
        <w:t>中央</w:t>
      </w:r>
      <w:r>
        <w:rPr>
          <w:rFonts w:hint="eastAsia" w:ascii="仿宋" w:hAnsi="仿宋" w:eastAsia="仿宋" w:cs="仿宋"/>
          <w:sz w:val="32"/>
          <w:szCs w:val="32"/>
        </w:rPr>
        <w:t>、省</w:t>
      </w:r>
      <w:r>
        <w:rPr>
          <w:rFonts w:hint="eastAsia" w:ascii="仿宋" w:hAnsi="仿宋" w:eastAsia="仿宋" w:cs="仿宋"/>
          <w:sz w:val="32"/>
          <w:szCs w:val="32"/>
          <w:lang w:eastAsia="zh-CN"/>
        </w:rPr>
        <w:t>级</w:t>
      </w:r>
      <w:r>
        <w:rPr>
          <w:rFonts w:hint="eastAsia" w:ascii="仿宋" w:hAnsi="仿宋" w:eastAsia="仿宋" w:cs="仿宋"/>
          <w:sz w:val="32"/>
          <w:szCs w:val="32"/>
        </w:rPr>
        <w:t>补助的基础上，兼顾地方财政承受能力和政府债务风险防控要求，投入更多资金，提高项目建设水平。</w:t>
      </w:r>
    </w:p>
    <w:p>
      <w:pPr>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p>
    <w:p>
      <w:pPr>
        <w:adjustRightInd/>
        <w:snapToGrid/>
        <w:spacing w:line="580" w:lineRule="atLeast"/>
        <w:ind w:leftChars="0"/>
        <w:jc w:val="center"/>
      </w:pPr>
      <w:r>
        <w:rPr>
          <w:rFonts w:hint="default" w:ascii="黑体" w:hAnsi="黑体" w:eastAsia="黑体" w:cs="黑体"/>
          <w:sz w:val="32"/>
          <w:szCs w:val="32"/>
          <w:lang w:eastAsia="zh-CN"/>
        </w:rPr>
        <w:t>第三章</w:t>
      </w:r>
      <w:r>
        <w:rPr>
          <w:rFonts w:hint="default" w:ascii="黑体" w:hAnsi="黑体" w:eastAsia="黑体" w:cs="黑体"/>
          <w:sz w:val="32"/>
          <w:szCs w:val="32"/>
          <w:lang w:val="en-US" w:eastAsia="zh-CN"/>
        </w:rPr>
        <w:t xml:space="preserve"> </w:t>
      </w:r>
      <w:r>
        <w:rPr>
          <w:rFonts w:hint="default" w:ascii="黑体" w:hAnsi="黑体" w:eastAsia="黑体" w:cs="黑体"/>
          <w:sz w:val="32"/>
          <w:szCs w:val="32"/>
        </w:rPr>
        <w:t>资金</w:t>
      </w:r>
      <w:r>
        <w:rPr>
          <w:rFonts w:hint="default" w:ascii="黑体" w:hAnsi="黑体" w:eastAsia="黑体" w:cs="黑体"/>
          <w:sz w:val="32"/>
          <w:szCs w:val="32"/>
          <w:lang w:eastAsia="zh-CN"/>
        </w:rPr>
        <w:t>支出</w:t>
      </w:r>
      <w:r>
        <w:rPr>
          <w:rFonts w:hint="default" w:ascii="黑体" w:hAnsi="黑体" w:eastAsia="黑体" w:cs="黑体"/>
          <w:sz w:val="32"/>
          <w:szCs w:val="32"/>
        </w:rPr>
        <w:t>范围</w:t>
      </w:r>
    </w:p>
    <w:p>
      <w:pPr>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eastAsia="zh-CN"/>
        </w:rPr>
        <w:t>第八条</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鼓励项目受益对象和农村集体筹资投劳进行投入。鼓励采取投资补助、贴息等形式，吸引社会资金投入。</w:t>
      </w:r>
    </w:p>
    <w:p>
      <w:pPr>
        <w:pageBreakBefore w:val="0"/>
        <w:widowControl w:val="0"/>
        <w:kinsoku/>
        <w:wordWrap/>
        <w:overflowPunct/>
        <w:topLinePunct w:val="0"/>
        <w:autoSpaceDE/>
        <w:autoSpaceDN/>
        <w:bidi w:val="0"/>
        <w:adjustRightInd/>
        <w:snapToGrid/>
        <w:spacing w:line="580" w:lineRule="exact"/>
        <w:ind w:firstLineChars="200"/>
        <w:textAlignment w:val="auto"/>
        <w:rPr>
          <w:rFonts w:hint="eastAsia" w:ascii="仿宋" w:hAnsi="仿宋" w:eastAsia="仿宋" w:cs="仿宋"/>
          <w:sz w:val="32"/>
          <w:szCs w:val="32"/>
        </w:rPr>
      </w:pPr>
      <w:r>
        <w:rPr>
          <w:rFonts w:hint="eastAsia" w:ascii="仿宋" w:hAnsi="仿宋" w:eastAsia="仿宋" w:cs="仿宋"/>
          <w:sz w:val="32"/>
          <w:szCs w:val="32"/>
        </w:rPr>
        <w:t>第</w:t>
      </w:r>
      <w:r>
        <w:rPr>
          <w:rFonts w:hint="eastAsia" w:ascii="仿宋" w:hAnsi="仿宋" w:eastAsia="仿宋" w:cs="仿宋"/>
          <w:sz w:val="32"/>
          <w:szCs w:val="32"/>
          <w:lang w:eastAsia="zh-CN"/>
        </w:rPr>
        <w:t>九</w:t>
      </w:r>
      <w:r>
        <w:rPr>
          <w:rFonts w:hint="eastAsia" w:ascii="仿宋" w:hAnsi="仿宋" w:eastAsia="仿宋" w:cs="仿宋"/>
          <w:sz w:val="32"/>
          <w:szCs w:val="32"/>
        </w:rPr>
        <w:t>条</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农田建设补助资金优先扶持粮食生产功能区和重要农产品生产保护区。农田建设以农民为受益主体，</w:t>
      </w:r>
      <w:r>
        <w:rPr>
          <w:rFonts w:hint="eastAsia" w:ascii="仿宋" w:hAnsi="仿宋" w:eastAsia="仿宋" w:cs="仿宋"/>
          <w:sz w:val="32"/>
          <w:szCs w:val="32"/>
          <w:lang w:eastAsia="zh-CN"/>
        </w:rPr>
        <w:t>主要以项目所在地乡镇人民政府为项目申报主体、建设主体，</w:t>
      </w:r>
      <w:r>
        <w:rPr>
          <w:rFonts w:hint="eastAsia" w:ascii="仿宋" w:hAnsi="仿宋" w:eastAsia="仿宋" w:cs="仿宋"/>
          <w:sz w:val="32"/>
          <w:szCs w:val="32"/>
        </w:rPr>
        <w:t>扶持对象</w:t>
      </w:r>
      <w:r>
        <w:rPr>
          <w:rFonts w:hint="eastAsia" w:ascii="仿宋" w:hAnsi="仿宋" w:eastAsia="仿宋" w:cs="仿宋"/>
          <w:sz w:val="32"/>
          <w:szCs w:val="32"/>
          <w:lang w:eastAsia="zh-CN"/>
        </w:rPr>
        <w:t>主要</w:t>
      </w:r>
      <w:r>
        <w:rPr>
          <w:rFonts w:hint="eastAsia" w:ascii="仿宋" w:hAnsi="仿宋" w:eastAsia="仿宋" w:cs="仿宋"/>
          <w:sz w:val="32"/>
          <w:szCs w:val="32"/>
        </w:rPr>
        <w:t>包括农村集体经济组织、家庭农场、农民合作社、小农户、专业大户以及涉农企业与单位等。农田建设补助资金支持用于高标准农田及农田水利建设。</w:t>
      </w:r>
    </w:p>
    <w:p>
      <w:pPr>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第</w:t>
      </w:r>
      <w:r>
        <w:rPr>
          <w:rFonts w:hint="eastAsia" w:ascii="仿宋" w:hAnsi="仿宋" w:eastAsia="仿宋" w:cs="仿宋"/>
          <w:sz w:val="32"/>
          <w:szCs w:val="32"/>
          <w:lang w:eastAsia="zh-CN"/>
        </w:rPr>
        <w:t>十</w:t>
      </w:r>
      <w:r>
        <w:rPr>
          <w:rFonts w:hint="eastAsia" w:ascii="仿宋" w:hAnsi="仿宋" w:eastAsia="仿宋" w:cs="仿宋"/>
          <w:sz w:val="32"/>
          <w:szCs w:val="32"/>
        </w:rPr>
        <w:t>条</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农田建设补助资金应当用于以下建设内容：</w:t>
      </w:r>
    </w:p>
    <w:p>
      <w:pPr>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（一）土地平整。主要用于</w:t>
      </w:r>
      <w:r>
        <w:rPr>
          <w:rFonts w:hint="eastAsia" w:ascii="仿宋" w:hAnsi="仿宋" w:eastAsia="仿宋" w:cs="仿宋"/>
          <w:sz w:val="32"/>
          <w:szCs w:val="32"/>
          <w:lang w:eastAsia="zh-CN"/>
        </w:rPr>
        <w:t>为满足农田耕作、灌排的需要，而采取的</w:t>
      </w:r>
      <w:r>
        <w:rPr>
          <w:rFonts w:hint="eastAsia" w:ascii="仿宋" w:hAnsi="仿宋" w:eastAsia="仿宋" w:cs="仿宋"/>
          <w:sz w:val="32"/>
          <w:szCs w:val="32"/>
        </w:rPr>
        <w:t>田地修筑</w:t>
      </w:r>
      <w:r>
        <w:rPr>
          <w:rFonts w:hint="eastAsia" w:ascii="仿宋" w:hAnsi="仿宋" w:eastAsia="仿宋" w:cs="仿宋"/>
          <w:sz w:val="32"/>
          <w:szCs w:val="32"/>
          <w:lang w:eastAsia="zh-CN"/>
        </w:rPr>
        <w:t>、整理和地力保持措施。</w:t>
      </w:r>
    </w:p>
    <w:p>
      <w:pPr>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仿宋" w:hAnsi="仿宋" w:eastAsia="仿宋" w:cs="仿宋"/>
          <w:sz w:val="32"/>
          <w:szCs w:val="32"/>
          <w:lang w:val="en-US" w:eastAsia="zh-CN"/>
        </w:rPr>
      </w:pPr>
      <w:r>
        <w:rPr>
          <w:rFonts w:hint="eastAsia" w:ascii="仿宋" w:hAnsi="仿宋" w:eastAsia="仿宋" w:cs="仿宋"/>
          <w:sz w:val="32"/>
          <w:szCs w:val="32"/>
        </w:rPr>
        <w:t>（二）土壤改良。主要用于改善土壤质地、减少或消除影响作物生长的障碍因素而采取的措施。</w:t>
      </w:r>
    </w:p>
    <w:p>
      <w:pPr>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（三）灌溉排水与节水设施。主要用于防治农田旱、涝、渍和盐碱等灾害所修建的设施</w:t>
      </w:r>
      <w:r>
        <w:rPr>
          <w:rFonts w:hint="eastAsia" w:ascii="仿宋" w:hAnsi="仿宋" w:eastAsia="仿宋" w:cs="仿宋"/>
          <w:sz w:val="32"/>
          <w:szCs w:val="32"/>
          <w:lang w:eastAsia="zh-CN"/>
        </w:rPr>
        <w:t>、</w:t>
      </w:r>
      <w:r>
        <w:rPr>
          <w:rFonts w:hint="eastAsia" w:ascii="仿宋" w:hAnsi="仿宋" w:eastAsia="仿宋" w:cs="仿宋"/>
          <w:sz w:val="32"/>
          <w:szCs w:val="32"/>
        </w:rPr>
        <w:t>建筑物和节水灌溉设施</w:t>
      </w:r>
      <w:r>
        <w:rPr>
          <w:rFonts w:hint="eastAsia" w:ascii="仿宋" w:hAnsi="仿宋" w:eastAsia="仿宋" w:cs="仿宋"/>
          <w:sz w:val="32"/>
          <w:szCs w:val="32"/>
          <w:lang w:eastAsia="zh-CN"/>
        </w:rPr>
        <w:t>等。</w:t>
      </w:r>
    </w:p>
    <w:p>
      <w:pPr>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（四）田间</w:t>
      </w:r>
      <w:r>
        <w:rPr>
          <w:rFonts w:hint="default" w:ascii="仿宋" w:hAnsi="仿宋" w:eastAsia="仿宋" w:cs="仿宋"/>
          <w:sz w:val="32"/>
          <w:szCs w:val="32"/>
          <w:lang w:val="en-US"/>
        </w:rPr>
        <w:t>交</w:t>
      </w:r>
      <w:r>
        <w:rPr>
          <w:rFonts w:hint="eastAsia" w:ascii="仿宋" w:hAnsi="仿宋" w:eastAsia="仿宋" w:cs="仿宋"/>
          <w:sz w:val="32"/>
          <w:szCs w:val="32"/>
          <w:lang w:val="en-US" w:eastAsia="zh-CN"/>
        </w:rPr>
        <w:t>通</w:t>
      </w:r>
      <w:r>
        <w:rPr>
          <w:rFonts w:hint="eastAsia" w:ascii="仿宋" w:hAnsi="仿宋" w:eastAsia="仿宋" w:cs="仿宋"/>
          <w:sz w:val="32"/>
          <w:szCs w:val="32"/>
        </w:rPr>
        <w:t>。主要用于农田耕作、农业物资运输等农业生产活动所修建的</w:t>
      </w:r>
      <w:r>
        <w:rPr>
          <w:rFonts w:hint="default" w:ascii="仿宋" w:hAnsi="仿宋" w:eastAsia="仿宋" w:cs="仿宋"/>
          <w:sz w:val="32"/>
          <w:szCs w:val="32"/>
        </w:rPr>
        <w:t>田间道路、生产路和农桥工程等</w:t>
      </w:r>
      <w:r>
        <w:rPr>
          <w:rFonts w:hint="eastAsia" w:ascii="仿宋" w:hAnsi="仿宋" w:eastAsia="仿宋" w:cs="仿宋"/>
          <w:sz w:val="32"/>
          <w:szCs w:val="32"/>
        </w:rPr>
        <w:t>交通设施</w:t>
      </w:r>
      <w:r>
        <w:rPr>
          <w:rFonts w:hint="eastAsia" w:ascii="仿宋" w:hAnsi="仿宋" w:eastAsia="仿宋" w:cs="仿宋"/>
          <w:sz w:val="32"/>
          <w:szCs w:val="32"/>
          <w:lang w:eastAsia="zh-CN"/>
        </w:rPr>
        <w:t>。</w:t>
      </w:r>
      <w:r>
        <w:rPr>
          <w:rFonts w:hint="eastAsia" w:ascii="仿宋" w:hAnsi="仿宋" w:eastAsia="仿宋" w:cs="仿宋"/>
          <w:sz w:val="32"/>
          <w:szCs w:val="32"/>
        </w:rPr>
        <w:t>以直接补助、先建后补形式安排的农田建设项目中，田间道路、生产路的</w:t>
      </w:r>
      <w:r>
        <w:rPr>
          <w:rFonts w:hint="eastAsia" w:ascii="仿宋" w:hAnsi="仿宋" w:eastAsia="仿宋" w:cs="仿宋"/>
          <w:sz w:val="32"/>
          <w:szCs w:val="32"/>
          <w:lang w:eastAsia="zh-CN"/>
        </w:rPr>
        <w:t>支出原则上</w:t>
      </w:r>
      <w:r>
        <w:rPr>
          <w:rFonts w:hint="eastAsia" w:ascii="仿宋" w:hAnsi="仿宋" w:eastAsia="仿宋" w:cs="仿宋"/>
          <w:sz w:val="32"/>
          <w:szCs w:val="32"/>
        </w:rPr>
        <w:t>不超过项目财政</w:t>
      </w:r>
      <w:r>
        <w:rPr>
          <w:rFonts w:hint="eastAsia" w:ascii="仿宋" w:hAnsi="仿宋" w:eastAsia="仿宋" w:cs="仿宋"/>
          <w:sz w:val="32"/>
          <w:szCs w:val="32"/>
          <w:lang w:eastAsia="zh-CN"/>
        </w:rPr>
        <w:t>投入资金</w:t>
      </w:r>
      <w:r>
        <w:rPr>
          <w:rFonts w:hint="eastAsia" w:ascii="仿宋" w:hAnsi="仿宋" w:eastAsia="仿宋" w:cs="仿宋"/>
          <w:sz w:val="32"/>
          <w:szCs w:val="32"/>
        </w:rPr>
        <w:t>的40%。</w:t>
      </w:r>
    </w:p>
    <w:p>
      <w:pPr>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（五）农田防护与生态环境保持。主要用于农田林网工程、岸坡防护工程、沟道治理工程和坡面防护工程等。</w:t>
      </w:r>
    </w:p>
    <w:p>
      <w:pPr>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（六）农田输配电。主要用于泵站、机井以及信息化工程等提供电力保障所需强电、弱电等各种措施。</w:t>
      </w:r>
    </w:p>
    <w:p>
      <w:pPr>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（七）损毁工程修复和农田建设相关的其他工程内容。主要用于责任</w:t>
      </w:r>
      <w:r>
        <w:rPr>
          <w:rFonts w:hint="eastAsia" w:ascii="仿宋" w:hAnsi="仿宋" w:eastAsia="仿宋" w:cs="仿宋"/>
          <w:sz w:val="32"/>
          <w:szCs w:val="32"/>
          <w:lang w:eastAsia="zh-CN"/>
        </w:rPr>
        <w:t>缺陷</w:t>
      </w:r>
      <w:r>
        <w:rPr>
          <w:rFonts w:hint="eastAsia" w:ascii="仿宋" w:hAnsi="仿宋" w:eastAsia="仿宋" w:cs="仿宋"/>
          <w:sz w:val="32"/>
          <w:szCs w:val="32"/>
        </w:rPr>
        <w:t>期外农田基础设施工程修复</w:t>
      </w:r>
      <w:r>
        <w:rPr>
          <w:rFonts w:hint="eastAsia" w:ascii="仿宋" w:hAnsi="仿宋" w:eastAsia="仿宋" w:cs="仿宋"/>
          <w:sz w:val="32"/>
          <w:szCs w:val="32"/>
          <w:lang w:eastAsia="zh-CN"/>
        </w:rPr>
        <w:t>，以及除上述内容以外与农田建设相关的其他工程。</w:t>
      </w:r>
    </w:p>
    <w:p>
      <w:pPr>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 xml:space="preserve">第十一条 </w:t>
      </w:r>
      <w:r>
        <w:rPr>
          <w:rFonts w:hint="eastAsia" w:ascii="仿宋" w:hAnsi="仿宋" w:eastAsia="仿宋" w:cs="仿宋"/>
          <w:sz w:val="32"/>
          <w:szCs w:val="32"/>
        </w:rPr>
        <w:t>农田建设补助资金的支出范围包括：项目所需材料费、设备购置费及施工支出，项目建设的前期工作费、工程招投标费、工程监理费以及必要的项目管理费等。</w:t>
      </w:r>
      <w:r>
        <w:rPr>
          <w:rFonts w:hint="eastAsia" w:ascii="仿宋" w:hAnsi="仿宋" w:eastAsia="仿宋" w:cs="仿宋"/>
          <w:sz w:val="32"/>
          <w:szCs w:val="32"/>
          <w:lang w:eastAsia="zh-CN"/>
        </w:rPr>
        <w:t>农田建设补助资金不得用于兴建楼堂馆所，弥补预算资金缺口等与</w:t>
      </w:r>
      <w:r>
        <w:rPr>
          <w:rFonts w:hint="default" w:ascii="仿宋" w:hAnsi="仿宋" w:eastAsia="仿宋" w:cs="仿宋"/>
          <w:sz w:val="32"/>
          <w:szCs w:val="32"/>
          <w:lang w:val="en-US" w:eastAsia="zh-CN"/>
        </w:rPr>
        <w:t>农</w:t>
      </w:r>
      <w:r>
        <w:rPr>
          <w:rFonts w:hint="eastAsia" w:ascii="仿宋" w:hAnsi="仿宋" w:eastAsia="仿宋" w:cs="仿宋"/>
          <w:sz w:val="32"/>
          <w:szCs w:val="32"/>
          <w:lang w:val="en-US" w:eastAsia="zh-CN"/>
        </w:rPr>
        <w:t>田建设无关的支出。</w:t>
      </w:r>
    </w:p>
    <w:p>
      <w:pPr>
        <w:pageBreakBefore w:val="0"/>
        <w:widowControl w:val="0"/>
        <w:numPr>
          <w:ilvl w:val="0"/>
          <w:numId w:val="0"/>
        </w:numPr>
        <w:kinsoku/>
        <w:wordWrap/>
        <w:overflowPunct/>
        <w:topLinePunct w:val="0"/>
        <w:autoSpaceDE/>
        <w:autoSpaceDN/>
        <w:bidi w:val="0"/>
        <w:adjustRightInd/>
        <w:snapToGrid/>
        <w:spacing w:line="580" w:lineRule="exact"/>
        <w:ind w:firstLine="640"/>
        <w:textAlignment w:val="auto"/>
        <w:rPr>
          <w:rFonts w:hint="eastAsia" w:ascii="仿宋" w:hAnsi="仿宋" w:eastAsia="仿宋" w:cs="仿宋"/>
          <w:sz w:val="32"/>
          <w:szCs w:val="32"/>
          <w:lang w:eastAsia="zh-CN"/>
        </w:rPr>
      </w:pPr>
      <w:r>
        <w:rPr>
          <w:rFonts w:hint="eastAsia" w:ascii="仿宋" w:hAnsi="仿宋" w:eastAsia="仿宋" w:cs="仿宋"/>
          <w:sz w:val="32"/>
          <w:szCs w:val="32"/>
        </w:rPr>
        <w:t>第十</w:t>
      </w:r>
      <w:r>
        <w:rPr>
          <w:rFonts w:hint="eastAsia" w:ascii="仿宋" w:hAnsi="仿宋" w:eastAsia="仿宋" w:cs="仿宋"/>
          <w:sz w:val="32"/>
          <w:szCs w:val="32"/>
          <w:lang w:eastAsia="zh-CN"/>
        </w:rPr>
        <w:t>二</w:t>
      </w:r>
      <w:r>
        <w:rPr>
          <w:rFonts w:hint="eastAsia" w:ascii="仿宋" w:hAnsi="仿宋" w:eastAsia="仿宋" w:cs="仿宋"/>
          <w:sz w:val="32"/>
          <w:szCs w:val="32"/>
        </w:rPr>
        <w:t>条</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项目建设前期工作费包括</w:t>
      </w:r>
      <w:r>
        <w:rPr>
          <w:rFonts w:hint="eastAsia" w:ascii="仿宋" w:hAnsi="仿宋" w:eastAsia="仿宋" w:cs="仿宋"/>
          <w:sz w:val="32"/>
          <w:szCs w:val="32"/>
          <w:lang w:eastAsia="zh-CN"/>
        </w:rPr>
        <w:t>项目申报书（至可研深度）、项目初步设计</w:t>
      </w:r>
      <w:r>
        <w:rPr>
          <w:rFonts w:hint="eastAsia" w:ascii="仿宋" w:hAnsi="仿宋" w:eastAsia="仿宋" w:cs="仿宋"/>
          <w:sz w:val="32"/>
          <w:szCs w:val="32"/>
        </w:rPr>
        <w:t>、项目勘察设计、环境影响评价等工作</w:t>
      </w:r>
      <w:r>
        <w:rPr>
          <w:rFonts w:hint="eastAsia" w:ascii="仿宋" w:hAnsi="仿宋" w:eastAsia="仿宋" w:cs="仿宋"/>
          <w:sz w:val="32"/>
          <w:szCs w:val="32"/>
          <w:lang w:eastAsia="zh-CN"/>
        </w:rPr>
        <w:t>支出，按照</w:t>
      </w:r>
      <w:r>
        <w:rPr>
          <w:rFonts w:hint="eastAsia" w:ascii="仿宋" w:hAnsi="仿宋" w:eastAsia="仿宋" w:cs="仿宋"/>
          <w:sz w:val="32"/>
          <w:szCs w:val="32"/>
        </w:rPr>
        <w:t>不高于</w:t>
      </w:r>
      <w:r>
        <w:rPr>
          <w:rFonts w:hint="eastAsia" w:ascii="仿宋" w:hAnsi="仿宋" w:eastAsia="仿宋" w:cs="仿宋"/>
          <w:sz w:val="32"/>
          <w:szCs w:val="32"/>
          <w:lang w:eastAsia="zh-CN"/>
        </w:rPr>
        <w:t>单个项目</w:t>
      </w:r>
      <w:r>
        <w:rPr>
          <w:rFonts w:hint="eastAsia" w:ascii="仿宋" w:hAnsi="仿宋" w:eastAsia="仿宋" w:cs="仿宋"/>
          <w:sz w:val="32"/>
          <w:szCs w:val="32"/>
        </w:rPr>
        <w:t>财政投入资金的</w:t>
      </w:r>
      <w:r>
        <w:rPr>
          <w:rFonts w:hint="eastAsia" w:ascii="仿宋" w:hAnsi="仿宋" w:eastAsia="仿宋" w:cs="仿宋"/>
          <w:sz w:val="32"/>
          <w:szCs w:val="32"/>
          <w:lang w:val="en-US" w:eastAsia="zh-CN"/>
        </w:rPr>
        <w:t>4</w:t>
      </w:r>
      <w:r>
        <w:rPr>
          <w:rFonts w:hint="eastAsia" w:ascii="仿宋" w:hAnsi="仿宋" w:eastAsia="仿宋" w:cs="仿宋"/>
          <w:sz w:val="32"/>
          <w:szCs w:val="32"/>
        </w:rPr>
        <w:t>%据实列支</w:t>
      </w:r>
      <w:r>
        <w:rPr>
          <w:rFonts w:hint="eastAsia" w:ascii="仿宋" w:hAnsi="仿宋" w:eastAsia="仿宋" w:cs="仿宋"/>
          <w:sz w:val="32"/>
          <w:szCs w:val="32"/>
          <w:lang w:eastAsia="zh-CN"/>
        </w:rPr>
        <w:t>。</w:t>
      </w:r>
    </w:p>
    <w:p>
      <w:pPr>
        <w:pageBreakBefore w:val="0"/>
        <w:widowControl w:val="0"/>
        <w:numPr>
          <w:ilvl w:val="0"/>
          <w:numId w:val="0"/>
        </w:numPr>
        <w:kinsoku/>
        <w:wordWrap/>
        <w:overflowPunct/>
        <w:topLinePunct w:val="0"/>
        <w:autoSpaceDE/>
        <w:autoSpaceDN/>
        <w:bidi w:val="0"/>
        <w:adjustRightInd/>
        <w:snapToGrid/>
        <w:spacing w:line="580" w:lineRule="exact"/>
        <w:ind w:firstLine="640"/>
        <w:textAlignment w:val="auto"/>
        <w:rPr>
          <w:rFonts w:hint="default" w:ascii="仿宋" w:hAnsi="仿宋" w:eastAsia="仿宋" w:cs="仿宋"/>
          <w:sz w:val="32"/>
          <w:szCs w:val="32"/>
          <w:lang w:val="en-US" w:eastAsia="zh-CN"/>
        </w:rPr>
      </w:pPr>
      <w:r>
        <w:rPr>
          <w:rFonts w:hint="eastAsia" w:ascii="仿宋" w:hAnsi="仿宋" w:eastAsia="仿宋" w:cs="仿宋"/>
          <w:sz w:val="32"/>
          <w:szCs w:val="32"/>
          <w:lang w:eastAsia="zh-CN"/>
        </w:rPr>
        <w:t>工程监理费按照</w:t>
      </w:r>
      <w:r>
        <w:rPr>
          <w:rFonts w:hint="eastAsia" w:ascii="仿宋" w:hAnsi="仿宋" w:eastAsia="仿宋" w:cs="仿宋"/>
          <w:sz w:val="32"/>
          <w:szCs w:val="32"/>
        </w:rPr>
        <w:t>不</w:t>
      </w:r>
      <w:r>
        <w:rPr>
          <w:rFonts w:hint="eastAsia" w:ascii="仿宋" w:hAnsi="仿宋" w:eastAsia="仿宋" w:cs="仿宋"/>
          <w:sz w:val="32"/>
          <w:szCs w:val="32"/>
          <w:lang w:eastAsia="zh-CN"/>
        </w:rPr>
        <w:t>高于单个</w:t>
      </w:r>
      <w:r>
        <w:rPr>
          <w:rFonts w:hint="eastAsia" w:ascii="仿宋" w:hAnsi="仿宋" w:eastAsia="仿宋" w:cs="仿宋"/>
          <w:sz w:val="32"/>
          <w:szCs w:val="32"/>
        </w:rPr>
        <w:t>项目财政</w:t>
      </w:r>
      <w:r>
        <w:rPr>
          <w:rFonts w:hint="eastAsia" w:ascii="仿宋" w:hAnsi="仿宋" w:eastAsia="仿宋" w:cs="仿宋"/>
          <w:sz w:val="32"/>
          <w:szCs w:val="32"/>
          <w:lang w:eastAsia="zh-CN"/>
        </w:rPr>
        <w:t>投入资金</w:t>
      </w:r>
      <w:r>
        <w:rPr>
          <w:rFonts w:hint="eastAsia" w:ascii="仿宋" w:hAnsi="仿宋" w:eastAsia="仿宋" w:cs="仿宋"/>
          <w:sz w:val="32"/>
          <w:szCs w:val="32"/>
        </w:rPr>
        <w:t>的2%</w:t>
      </w:r>
      <w:r>
        <w:rPr>
          <w:rFonts w:hint="eastAsia" w:ascii="仿宋" w:hAnsi="仿宋" w:eastAsia="仿宋" w:cs="仿宋"/>
          <w:sz w:val="32"/>
          <w:szCs w:val="32"/>
          <w:lang w:eastAsia="zh-CN"/>
        </w:rPr>
        <w:t>据实列支</w:t>
      </w:r>
      <w:r>
        <w:rPr>
          <w:rFonts w:hint="eastAsia" w:ascii="仿宋" w:hAnsi="仿宋" w:eastAsia="仿宋" w:cs="仿宋"/>
          <w:sz w:val="32"/>
          <w:szCs w:val="32"/>
        </w:rPr>
        <w:t>。</w:t>
      </w:r>
    </w:p>
    <w:p>
      <w:pPr>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第十</w:t>
      </w:r>
      <w:r>
        <w:rPr>
          <w:rFonts w:hint="eastAsia" w:ascii="仿宋" w:hAnsi="仿宋" w:eastAsia="仿宋" w:cs="仿宋"/>
          <w:sz w:val="32"/>
          <w:szCs w:val="32"/>
          <w:lang w:eastAsia="zh-CN"/>
        </w:rPr>
        <w:t>三</w:t>
      </w:r>
      <w:r>
        <w:rPr>
          <w:rFonts w:hint="eastAsia" w:ascii="仿宋" w:hAnsi="仿宋" w:eastAsia="仿宋" w:cs="仿宋"/>
          <w:sz w:val="32"/>
          <w:szCs w:val="32"/>
        </w:rPr>
        <w:t>条</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项目管理费按农田建设项目财政投入资金的一定比例据实列支，单个</w:t>
      </w:r>
      <w:r>
        <w:rPr>
          <w:rFonts w:hint="eastAsia" w:ascii="仿宋" w:hAnsi="仿宋" w:eastAsia="仿宋" w:cs="仿宋"/>
          <w:sz w:val="32"/>
          <w:szCs w:val="32"/>
          <w:lang w:eastAsia="zh-CN"/>
        </w:rPr>
        <w:t>项目</w:t>
      </w:r>
      <w:r>
        <w:rPr>
          <w:rFonts w:hint="eastAsia" w:ascii="仿宋" w:hAnsi="仿宋" w:eastAsia="仿宋" w:cs="仿宋"/>
          <w:sz w:val="32"/>
          <w:szCs w:val="32"/>
        </w:rPr>
        <w:t>财政投入资金1500万元以下的按不高于3%据实列支；超过1500万元的，其超过部分按不高于1%据实列支。</w:t>
      </w:r>
    </w:p>
    <w:p>
      <w:pPr>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项目管理费主要</w:t>
      </w:r>
      <w:r>
        <w:rPr>
          <w:rFonts w:hint="eastAsia" w:ascii="仿宋" w:hAnsi="仿宋" w:eastAsia="仿宋" w:cs="仿宋"/>
          <w:sz w:val="32"/>
          <w:szCs w:val="32"/>
          <w:lang w:eastAsia="zh-CN"/>
        </w:rPr>
        <w:t>县级农田建设项目和资金管理部门（包括项目建设单位）</w:t>
      </w:r>
      <w:r>
        <w:rPr>
          <w:rFonts w:hint="eastAsia" w:ascii="仿宋" w:hAnsi="仿宋" w:eastAsia="仿宋" w:cs="仿宋"/>
          <w:sz w:val="32"/>
          <w:szCs w:val="32"/>
        </w:rPr>
        <w:t>用于农田建设</w:t>
      </w:r>
      <w:r>
        <w:rPr>
          <w:rFonts w:hint="eastAsia" w:ascii="仿宋" w:hAnsi="仿宋" w:eastAsia="仿宋" w:cs="仿宋"/>
          <w:sz w:val="32"/>
          <w:szCs w:val="32"/>
          <w:lang w:eastAsia="zh-CN"/>
        </w:rPr>
        <w:t>规划编制、</w:t>
      </w:r>
      <w:r>
        <w:rPr>
          <w:rFonts w:hint="eastAsia" w:ascii="仿宋" w:hAnsi="仿宋" w:eastAsia="仿宋" w:cs="仿宋"/>
          <w:sz w:val="32"/>
          <w:szCs w:val="32"/>
        </w:rPr>
        <w:t>项目评审、实地考察、检查验收、工程实施监管、绩效评价、资金和项目公示等管理方面的支出。</w:t>
      </w:r>
      <w:r>
        <w:rPr>
          <w:rFonts w:hint="eastAsia" w:ascii="仿宋" w:hAnsi="仿宋" w:eastAsia="仿宋" w:cs="仿宋"/>
          <w:sz w:val="32"/>
          <w:szCs w:val="32"/>
          <w:lang w:eastAsia="zh-CN"/>
        </w:rPr>
        <w:t>具体包括开展相关管理工作时所发生的会议费、培训费、差旅费、交通费、租赁费、印刷费、宣传费、信息化建设费、专家咨询费、委托业务费、上图入库费、审计费、工程质量检测费等。</w:t>
      </w:r>
    </w:p>
    <w:p>
      <w:pPr>
        <w:spacing w:line="580" w:lineRule="exact"/>
        <w:ind w:firstLine="640" w:firstLineChars="200"/>
        <w:rPr>
          <w:rFonts w:ascii="仿宋" w:hAnsi="仿宋" w:eastAsia="仿宋" w:cs="仿宋"/>
          <w:sz w:val="32"/>
          <w:szCs w:val="32"/>
        </w:rPr>
      </w:pPr>
      <w:r>
        <w:rPr>
          <w:rFonts w:hint="eastAsia" w:ascii="仿宋" w:hAnsi="仿宋" w:eastAsia="仿宋" w:cs="仿宋"/>
          <w:sz w:val="32"/>
          <w:szCs w:val="32"/>
          <w:lang w:eastAsia="zh-CN"/>
        </w:rPr>
        <w:t>省级、</w:t>
      </w:r>
      <w:r>
        <w:rPr>
          <w:rFonts w:hint="eastAsia" w:ascii="仿宋" w:hAnsi="仿宋" w:eastAsia="仿宋" w:cs="仿宋"/>
          <w:sz w:val="32"/>
          <w:szCs w:val="32"/>
        </w:rPr>
        <w:t>设区市农业农村部门的</w:t>
      </w:r>
      <w:r>
        <w:rPr>
          <w:rFonts w:hint="eastAsia" w:ascii="仿宋" w:hAnsi="仿宋" w:eastAsia="仿宋" w:cs="仿宋"/>
          <w:sz w:val="32"/>
          <w:szCs w:val="32"/>
          <w:lang w:eastAsia="zh-CN"/>
        </w:rPr>
        <w:t>农田建设</w:t>
      </w:r>
      <w:r>
        <w:rPr>
          <w:rFonts w:hint="eastAsia" w:ascii="仿宋" w:hAnsi="仿宋" w:eastAsia="仿宋" w:cs="仿宋"/>
          <w:sz w:val="32"/>
          <w:szCs w:val="32"/>
        </w:rPr>
        <w:t>项目管理经费</w:t>
      </w:r>
      <w:r>
        <w:rPr>
          <w:rFonts w:hint="eastAsia" w:ascii="仿宋" w:hAnsi="仿宋" w:eastAsia="仿宋" w:cs="仿宋"/>
          <w:sz w:val="32"/>
          <w:szCs w:val="32"/>
          <w:lang w:val="en-US" w:eastAsia="zh-CN"/>
        </w:rPr>
        <w:t>(包括</w:t>
      </w:r>
      <w:r>
        <w:rPr>
          <w:rFonts w:hint="eastAsia" w:ascii="仿宋" w:hAnsi="仿宋" w:eastAsia="仿宋" w:cs="仿宋"/>
          <w:sz w:val="32"/>
          <w:szCs w:val="32"/>
          <w:lang w:eastAsia="zh-CN"/>
        </w:rPr>
        <w:t>省委托的</w:t>
      </w:r>
      <w:r>
        <w:rPr>
          <w:rFonts w:hint="eastAsia" w:ascii="仿宋" w:hAnsi="仿宋" w:eastAsia="仿宋" w:cs="仿宋"/>
          <w:sz w:val="32"/>
          <w:szCs w:val="32"/>
        </w:rPr>
        <w:t>项目立项评审</w:t>
      </w:r>
      <w:r>
        <w:rPr>
          <w:rFonts w:hint="eastAsia" w:ascii="仿宋" w:hAnsi="仿宋" w:eastAsia="仿宋" w:cs="仿宋"/>
          <w:sz w:val="32"/>
          <w:szCs w:val="32"/>
          <w:lang w:eastAsia="zh-CN"/>
        </w:rPr>
        <w:t>、项目竣工验收等支出</w:t>
      </w:r>
      <w:r>
        <w:rPr>
          <w:rFonts w:hint="eastAsia" w:ascii="仿宋" w:hAnsi="仿宋" w:eastAsia="仿宋" w:cs="仿宋"/>
          <w:sz w:val="32"/>
          <w:szCs w:val="32"/>
          <w:lang w:val="en-US" w:eastAsia="zh-CN"/>
        </w:rPr>
        <w:t>)</w:t>
      </w:r>
      <w:r>
        <w:rPr>
          <w:rFonts w:hint="eastAsia" w:ascii="仿宋" w:hAnsi="仿宋" w:eastAsia="仿宋" w:cs="仿宋"/>
          <w:sz w:val="32"/>
          <w:szCs w:val="32"/>
        </w:rPr>
        <w:t>由</w:t>
      </w:r>
      <w:r>
        <w:rPr>
          <w:rFonts w:hint="default" w:ascii="仿宋" w:hAnsi="仿宋" w:eastAsia="仿宋" w:cs="仿宋"/>
          <w:sz w:val="32"/>
          <w:szCs w:val="32"/>
          <w:lang w:val="en-US"/>
        </w:rPr>
        <w:t>省</w:t>
      </w:r>
      <w:r>
        <w:rPr>
          <w:rFonts w:hint="eastAsia" w:ascii="仿宋" w:hAnsi="仿宋" w:eastAsia="仿宋" w:cs="仿宋"/>
          <w:sz w:val="32"/>
          <w:szCs w:val="32"/>
          <w:lang w:val="en-US" w:eastAsia="zh-CN"/>
        </w:rPr>
        <w:t>、</w:t>
      </w:r>
      <w:r>
        <w:rPr>
          <w:rFonts w:hint="eastAsia" w:ascii="仿宋" w:hAnsi="仿宋" w:eastAsia="仿宋" w:cs="仿宋"/>
          <w:sz w:val="32"/>
          <w:szCs w:val="32"/>
        </w:rPr>
        <w:t>设区市政府</w:t>
      </w:r>
      <w:r>
        <w:rPr>
          <w:rFonts w:hint="eastAsia" w:ascii="仿宋" w:hAnsi="仿宋" w:eastAsia="仿宋" w:cs="仿宋"/>
          <w:sz w:val="32"/>
          <w:szCs w:val="32"/>
          <w:lang w:eastAsia="zh-CN"/>
        </w:rPr>
        <w:t>财政</w:t>
      </w:r>
      <w:r>
        <w:rPr>
          <w:rFonts w:hint="eastAsia" w:ascii="仿宋" w:hAnsi="仿宋" w:eastAsia="仿宋" w:cs="仿宋"/>
          <w:sz w:val="32"/>
          <w:szCs w:val="32"/>
        </w:rPr>
        <w:t>预算安排</w:t>
      </w:r>
      <w:r>
        <w:rPr>
          <w:rFonts w:hint="eastAsia" w:ascii="仿宋" w:hAnsi="仿宋" w:eastAsia="仿宋" w:cs="仿宋"/>
          <w:sz w:val="32"/>
          <w:szCs w:val="32"/>
          <w:lang w:eastAsia="zh-CN"/>
        </w:rPr>
        <w:t>。</w:t>
      </w:r>
    </w:p>
    <w:p>
      <w:pPr>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eastAsia="zh-CN"/>
        </w:rPr>
        <w:t>第十四条</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农田建设补助资金可以采取直接补助、贷款贴息、先建后补等支持方式。贷款贴息、先建后补等方式应</w:t>
      </w:r>
      <w:r>
        <w:rPr>
          <w:rFonts w:hint="eastAsia" w:ascii="仿宋" w:hAnsi="仿宋" w:eastAsia="仿宋" w:cs="仿宋"/>
          <w:sz w:val="32"/>
          <w:szCs w:val="32"/>
          <w:lang w:eastAsia="zh-CN"/>
        </w:rPr>
        <w:t>参照直接补助项目管理有关程序，</w:t>
      </w:r>
      <w:r>
        <w:rPr>
          <w:rFonts w:hint="eastAsia" w:ascii="仿宋" w:hAnsi="仿宋" w:eastAsia="仿宋" w:cs="仿宋"/>
          <w:sz w:val="32"/>
          <w:szCs w:val="32"/>
        </w:rPr>
        <w:t>具体操作程序、管理方法由省财政厅和农业农村厅另行规定。</w:t>
      </w:r>
    </w:p>
    <w:p>
      <w:pPr>
        <w:pageBreakBefore w:val="0"/>
        <w:widowControl w:val="0"/>
        <w:kinsoku/>
        <w:wordWrap/>
        <w:overflowPunct/>
        <w:topLinePunct w:val="0"/>
        <w:autoSpaceDE/>
        <w:autoSpaceDN/>
        <w:bidi w:val="0"/>
        <w:adjustRightInd/>
        <w:snapToGrid/>
        <w:spacing w:line="580" w:lineRule="exact"/>
        <w:jc w:val="center"/>
        <w:textAlignment w:val="auto"/>
        <w:rPr>
          <w:rFonts w:hint="eastAsia" w:ascii="黑体" w:hAnsi="黑体" w:eastAsia="黑体" w:cs="黑体"/>
          <w:sz w:val="32"/>
          <w:szCs w:val="32"/>
        </w:rPr>
      </w:pPr>
    </w:p>
    <w:p>
      <w:pPr>
        <w:pageBreakBefore w:val="0"/>
        <w:widowControl w:val="0"/>
        <w:numPr>
          <w:ilvl w:val="0"/>
          <w:numId w:val="0"/>
        </w:numPr>
        <w:kinsoku/>
        <w:wordWrap/>
        <w:overflowPunct/>
        <w:topLinePunct w:val="0"/>
        <w:autoSpaceDE/>
        <w:autoSpaceDN/>
        <w:bidi w:val="0"/>
        <w:adjustRightInd/>
        <w:snapToGrid/>
        <w:spacing w:line="580" w:lineRule="exact"/>
        <w:ind w:leftChars="0"/>
        <w:jc w:val="center"/>
        <w:textAlignment w:val="auto"/>
        <w:rPr>
          <w:rFonts w:hint="eastAsia" w:ascii="黑体" w:hAnsi="黑体" w:eastAsia="黑体" w:cs="黑体"/>
          <w:sz w:val="32"/>
          <w:szCs w:val="32"/>
        </w:rPr>
      </w:pPr>
      <w:r>
        <w:rPr>
          <w:rFonts w:hint="eastAsia" w:ascii="黑体" w:hAnsi="黑体" w:eastAsia="黑体" w:cs="黑体"/>
          <w:sz w:val="32"/>
          <w:szCs w:val="32"/>
          <w:lang w:eastAsia="zh-CN"/>
        </w:rPr>
        <w:t>第四章</w:t>
      </w:r>
      <w:r>
        <w:rPr>
          <w:rFonts w:hint="eastAsia" w:ascii="黑体" w:hAnsi="黑体" w:eastAsia="黑体" w:cs="黑体"/>
          <w:sz w:val="32"/>
          <w:szCs w:val="32"/>
          <w:lang w:val="en-US" w:eastAsia="zh-CN"/>
        </w:rPr>
        <w:t xml:space="preserve">  资金</w:t>
      </w:r>
      <w:r>
        <w:rPr>
          <w:rFonts w:hint="eastAsia" w:ascii="黑体" w:hAnsi="黑体" w:eastAsia="黑体" w:cs="黑体"/>
          <w:sz w:val="32"/>
          <w:szCs w:val="32"/>
        </w:rPr>
        <w:t>分配和下达</w:t>
      </w:r>
    </w:p>
    <w:p>
      <w:pPr>
        <w:pageBreakBefore w:val="0"/>
        <w:widowControl w:val="0"/>
        <w:numPr>
          <w:ilvl w:val="0"/>
          <w:numId w:val="0"/>
        </w:numPr>
        <w:kinsoku/>
        <w:wordWrap/>
        <w:overflowPunct/>
        <w:topLinePunct w:val="0"/>
        <w:autoSpaceDE/>
        <w:autoSpaceDN/>
        <w:bidi w:val="0"/>
        <w:adjustRightInd/>
        <w:snapToGrid/>
        <w:spacing w:line="580" w:lineRule="exact"/>
        <w:ind w:leftChars="0"/>
        <w:jc w:val="center"/>
        <w:textAlignment w:val="auto"/>
        <w:rPr>
          <w:rFonts w:hint="eastAsia" w:ascii="黑体" w:hAnsi="黑体" w:eastAsia="黑体" w:cs="黑体"/>
          <w:sz w:val="32"/>
          <w:szCs w:val="32"/>
        </w:rPr>
      </w:pPr>
    </w:p>
    <w:p>
      <w:pPr>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第十五条  农田建设补助资金、任务安排主要按照因素法进行分配。资金分配的因素主要包括基础资源因素、工作成效因素、重点任务因素和其他因素，其中基础资源因素权重占60%，工作成效因素权重占20%，重点任务因素权重占15%，其他因素权重不高于5%。重点任务因素、其他因素相应权重因素所对应资金在分配有余额时，统一纳入基础资源因素分配计算。</w:t>
      </w:r>
    </w:p>
    <w:p>
      <w:pPr>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基础资源因素包括农田建设规划任务，权重占20%；高标准农田比重，权重占15%；耕地面积，权重占15%；粮食产量，权重10%。</w:t>
      </w:r>
    </w:p>
    <w:p>
      <w:pPr>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工作成效因素以项目绩效评价结果和相关管理考核结果为依据，包括项目管理、资金管理、综合管理、监督检查、项目绩效等。</w:t>
      </w:r>
    </w:p>
    <w:p>
      <w:pPr>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重点任务因素主要是依据中央有关部门、省委省政府确定的农业农村有关重点工作、重点帮扶事项等。</w:t>
      </w:r>
    </w:p>
    <w:p>
      <w:pPr>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其他因素主要是特定的农业发展战略要求、政策创新以及其他不可预见的因素。</w:t>
      </w:r>
    </w:p>
    <w:p>
      <w:pPr>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第十六条 因素法分配农田建设补助资金、任务应以省农业农村厅汇总县级项目库形成的省级农田建设项目库为基础。未入库项目不安排预算。</w:t>
      </w:r>
    </w:p>
    <w:p>
      <w:pPr>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第十七条 </w:t>
      </w:r>
      <w:r>
        <w:rPr>
          <w:rFonts w:hint="eastAsia" w:ascii="仿宋" w:hAnsi="仿宋" w:eastAsia="仿宋" w:cs="仿宋"/>
          <w:sz w:val="32"/>
          <w:szCs w:val="32"/>
        </w:rPr>
        <w:t>中央财政、省级财政单次增加资金，因资金规模相对较小不便于在全省范围按综合因素法分配资金的，由省财政厅、农业农村厅</w:t>
      </w:r>
      <w:r>
        <w:rPr>
          <w:rFonts w:hint="eastAsia" w:ascii="仿宋" w:hAnsi="仿宋" w:eastAsia="仿宋" w:cs="仿宋"/>
          <w:sz w:val="32"/>
          <w:szCs w:val="32"/>
          <w:lang w:eastAsia="zh-CN"/>
        </w:rPr>
        <w:t>按有关规定</w:t>
      </w:r>
      <w:r>
        <w:rPr>
          <w:rFonts w:hint="eastAsia" w:ascii="仿宋" w:hAnsi="仿宋" w:eastAsia="仿宋" w:cs="仿宋"/>
          <w:sz w:val="32"/>
          <w:szCs w:val="32"/>
        </w:rPr>
        <w:t>进行分配。</w:t>
      </w:r>
    </w:p>
    <w:p>
      <w:pPr>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第十八条  省农业农村厅于每年2月15日前，提出当年农田建设补助资金的各设区市、县（市、区）分配建议，函报省财政厅。</w:t>
      </w:r>
    </w:p>
    <w:p>
      <w:pPr>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第十九条  省财政厅接到下达的中央财政农田建设补助资金预算后，根据本地区农田建设实际情况，商省农业农村厅，在30日内正式将预算下达到县级以上各级财政部门，同时将资金分配结果报财政部备案，抄送农业农村部、财政部江苏监管局。省级资金在省人大批准预算后60日内正式下达，任务清单、绩效目标与预算同步下达。</w:t>
      </w:r>
    </w:p>
    <w:p>
      <w:pPr>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第二十条  对市、县的补助资金通过财政转移支付下达，各市、县财政部门依据项目实施计划和执行进度及时拨付资金。对省直管单位的补助资金，通过省级国库集中支付系统下达。</w:t>
      </w:r>
    </w:p>
    <w:p>
      <w:pPr>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市、县财政部门在接到省级专项转移支付后30日内，商同级农业农村部门下达或落实到位，同时将结果及时报送省财政厅备案。</w:t>
      </w:r>
    </w:p>
    <w:p>
      <w:pPr>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第二十一条  农田建设项目补助资金采取项目资金报账管理。项目建设单位根据施工合同、施工进度报告、税务发票、监理签证、验收结果等，向农业农村部门提出资金报账申请。农业农村部门对项目建设单位提交的报账资料予以审核，向财政部门提交用款计划。财政部门复核报账资料、审核用款计划。按照国库集中支付制度的有关规定支付給项目工程实施单位、设备供货单位和服务提供单位。</w:t>
      </w:r>
    </w:p>
    <w:p>
      <w:pPr>
        <w:pageBreakBefore w:val="0"/>
        <w:widowControl w:val="0"/>
        <w:kinsoku/>
        <w:wordWrap/>
        <w:overflowPunct/>
        <w:topLinePunct w:val="0"/>
        <w:autoSpaceDE/>
        <w:autoSpaceDN/>
        <w:bidi w:val="0"/>
        <w:adjustRightInd/>
        <w:snapToGrid/>
        <w:spacing w:line="580" w:lineRule="exact"/>
        <w:jc w:val="center"/>
        <w:textAlignment w:val="auto"/>
        <w:rPr>
          <w:rFonts w:hint="eastAsia" w:ascii="黑体" w:hAnsi="黑体" w:eastAsia="黑体" w:cs="黑体"/>
          <w:sz w:val="32"/>
          <w:szCs w:val="32"/>
        </w:rPr>
      </w:pPr>
    </w:p>
    <w:p>
      <w:pPr>
        <w:pageBreakBefore w:val="0"/>
        <w:widowControl w:val="0"/>
        <w:kinsoku/>
        <w:wordWrap/>
        <w:overflowPunct/>
        <w:topLinePunct w:val="0"/>
        <w:autoSpaceDE/>
        <w:autoSpaceDN/>
        <w:bidi w:val="0"/>
        <w:adjustRightInd/>
        <w:snapToGrid/>
        <w:spacing w:line="580" w:lineRule="exact"/>
        <w:jc w:val="center"/>
        <w:textAlignment w:val="auto"/>
        <w:rPr>
          <w:rFonts w:hint="eastAsia" w:ascii="黑体" w:hAnsi="黑体" w:eastAsia="黑体" w:cs="黑体"/>
          <w:sz w:val="32"/>
          <w:szCs w:val="32"/>
        </w:rPr>
      </w:pPr>
      <w:r>
        <w:rPr>
          <w:rFonts w:hint="eastAsia" w:ascii="黑体" w:hAnsi="黑体" w:eastAsia="黑体" w:cs="黑体"/>
          <w:sz w:val="32"/>
          <w:szCs w:val="32"/>
        </w:rPr>
        <w:t>第</w:t>
      </w:r>
      <w:r>
        <w:rPr>
          <w:rFonts w:hint="eastAsia" w:ascii="黑体" w:hAnsi="黑体" w:eastAsia="黑体" w:cs="黑体"/>
          <w:sz w:val="32"/>
          <w:szCs w:val="32"/>
          <w:lang w:eastAsia="zh-CN"/>
        </w:rPr>
        <w:t>五</w:t>
      </w:r>
      <w:r>
        <w:rPr>
          <w:rFonts w:hint="eastAsia" w:ascii="黑体" w:hAnsi="黑体" w:eastAsia="黑体" w:cs="黑体"/>
          <w:sz w:val="32"/>
          <w:szCs w:val="32"/>
        </w:rPr>
        <w:t>章</w:t>
      </w:r>
      <w:r>
        <w:rPr>
          <w:rFonts w:hint="eastAsia" w:ascii="黑体" w:hAnsi="黑体" w:eastAsia="黑体" w:cs="黑体"/>
          <w:sz w:val="32"/>
          <w:szCs w:val="32"/>
          <w:lang w:val="en-US" w:eastAsia="zh-CN"/>
        </w:rPr>
        <w:t xml:space="preserve">  </w:t>
      </w:r>
      <w:r>
        <w:rPr>
          <w:rFonts w:hint="eastAsia" w:ascii="黑体" w:hAnsi="黑体" w:eastAsia="黑体" w:cs="黑体"/>
          <w:sz w:val="32"/>
          <w:szCs w:val="32"/>
        </w:rPr>
        <w:t>资金使用管理</w:t>
      </w:r>
    </w:p>
    <w:p>
      <w:pPr>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val="en-US" w:eastAsia="zh-CN"/>
        </w:rPr>
      </w:pPr>
    </w:p>
    <w:p>
      <w:pPr>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第二十二条 农田建设补助资金实行“大专项+任务清单”管理方式。省农业农村厅会同省财政厅根据农田建设专项资金应当保障的政策内容，设立建设任务清单，任务清单可分约束性任务和指导性任务。在完成中央和省级下达的约束性任务的前提下，各地可以在同一类级预算科目内统筹使用资金。</w:t>
      </w:r>
    </w:p>
    <w:p>
      <w:pPr>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各级财政部门应当会同同级农业农村部门按照《省政府关于探索建立涉农资金整合长效机制的实施意见》以及省财政厅涉农资金统筹整合使用有关规定，结合地区实际，按照统筹整合要求，统筹不同渠道的农田建设资金用于高标准农田建设。</w:t>
      </w:r>
    </w:p>
    <w:p>
      <w:pPr>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第二十三条 农田建设补助资金中所涉及的工程建设类项目参照基本建设项目管理程序执行。属于政府采购、招投标管理范围的，执行相关法律、法规及制度规定。</w:t>
      </w:r>
    </w:p>
    <w:p>
      <w:pPr>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第二十四条 各级财政、农业农村部门应当加快预算执行，提高资金使用效益。农田建设项目结转的补助资金，按照财政部和省有关规定执行。</w:t>
      </w:r>
    </w:p>
    <w:p>
      <w:pPr>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第二十五条 各级财政部门和农业农村部门应加强农田建设资金的管理和监督，指导和督促项目建设单位、项目实施单位规范做好资金和项目管理的基础工作。</w:t>
      </w:r>
    </w:p>
    <w:p>
      <w:pPr>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第二十六条  地方农业农村部门应督促项目建设单位严格执行项目实施计划和投资预算，严格按照规定用途使用资金。未经批准，不得擅自变更或调整项目实施内容或者调整预算。确需进行调整或终止的，按照《农田建设项目管理办法》及其实施细则执行，未经批准擅自变更或调整项目，涉及的项目财政资金一律收回财政。</w:t>
      </w:r>
    </w:p>
    <w:p>
      <w:pPr>
        <w:pageBreakBefore w:val="0"/>
        <w:widowControl w:val="0"/>
        <w:kinsoku/>
        <w:wordWrap/>
        <w:overflowPunct/>
        <w:topLinePunct w:val="0"/>
        <w:autoSpaceDE/>
        <w:autoSpaceDN/>
        <w:bidi w:val="0"/>
        <w:adjustRightInd/>
        <w:snapToGrid/>
        <w:spacing w:line="580" w:lineRule="exact"/>
        <w:textAlignment w:val="auto"/>
        <w:rPr>
          <w:rFonts w:hint="eastAsia"/>
          <w:sz w:val="32"/>
          <w:szCs w:val="32"/>
        </w:rPr>
      </w:pPr>
      <w:r>
        <w:rPr>
          <w:rFonts w:hint="eastAsia"/>
          <w:sz w:val="32"/>
          <w:szCs w:val="32"/>
        </w:rPr>
        <w:t>　</w:t>
      </w:r>
    </w:p>
    <w:p>
      <w:pPr>
        <w:pageBreakBefore w:val="0"/>
        <w:widowControl w:val="0"/>
        <w:numPr>
          <w:ilvl w:val="0"/>
          <w:numId w:val="0"/>
        </w:numPr>
        <w:kinsoku/>
        <w:wordWrap/>
        <w:overflowPunct/>
        <w:topLinePunct w:val="0"/>
        <w:autoSpaceDE/>
        <w:autoSpaceDN/>
        <w:bidi w:val="0"/>
        <w:adjustRightInd/>
        <w:snapToGrid/>
        <w:spacing w:line="580" w:lineRule="exact"/>
        <w:ind w:leftChars="0"/>
        <w:jc w:val="center"/>
        <w:textAlignment w:val="auto"/>
        <w:rPr>
          <w:rFonts w:hint="eastAsia" w:ascii="黑体" w:hAnsi="黑体" w:eastAsia="黑体" w:cs="黑体"/>
          <w:sz w:val="32"/>
          <w:szCs w:val="32"/>
          <w:lang w:eastAsia="zh-CN"/>
        </w:rPr>
      </w:pPr>
      <w:r>
        <w:rPr>
          <w:rFonts w:hint="eastAsia" w:ascii="黑体" w:hAnsi="黑体" w:eastAsia="黑体" w:cs="黑体"/>
          <w:sz w:val="32"/>
          <w:szCs w:val="32"/>
          <w:lang w:eastAsia="zh-CN"/>
        </w:rPr>
        <w:t>第六章</w:t>
      </w:r>
      <w:r>
        <w:rPr>
          <w:rFonts w:hint="eastAsia" w:ascii="黑体" w:hAnsi="黑体" w:eastAsia="黑体" w:cs="黑体"/>
          <w:sz w:val="32"/>
          <w:szCs w:val="32"/>
          <w:lang w:val="en-US" w:eastAsia="zh-CN"/>
        </w:rPr>
        <w:t xml:space="preserve"> </w:t>
      </w:r>
      <w:r>
        <w:rPr>
          <w:rFonts w:hint="eastAsia" w:ascii="黑体" w:hAnsi="黑体" w:eastAsia="黑体" w:cs="黑体"/>
          <w:sz w:val="32"/>
          <w:szCs w:val="32"/>
        </w:rPr>
        <w:t>监督检查和绩效</w:t>
      </w:r>
      <w:r>
        <w:rPr>
          <w:rFonts w:hint="eastAsia" w:ascii="黑体" w:hAnsi="黑体" w:eastAsia="黑体" w:cs="黑体"/>
          <w:sz w:val="32"/>
          <w:szCs w:val="32"/>
          <w:lang w:eastAsia="zh-CN"/>
        </w:rPr>
        <w:t>管理</w:t>
      </w:r>
    </w:p>
    <w:p>
      <w:pPr>
        <w:pageBreakBefore w:val="0"/>
        <w:widowControl w:val="0"/>
        <w:numPr>
          <w:ilvl w:val="0"/>
          <w:numId w:val="0"/>
        </w:numPr>
        <w:kinsoku/>
        <w:wordWrap/>
        <w:overflowPunct/>
        <w:topLinePunct w:val="0"/>
        <w:autoSpaceDE/>
        <w:autoSpaceDN/>
        <w:bidi w:val="0"/>
        <w:adjustRightInd/>
        <w:snapToGrid/>
        <w:spacing w:line="580" w:lineRule="exact"/>
        <w:ind w:leftChars="0"/>
        <w:jc w:val="center"/>
        <w:textAlignment w:val="auto"/>
        <w:rPr>
          <w:rFonts w:hint="eastAsia" w:ascii="黑体" w:hAnsi="黑体" w:eastAsia="黑体" w:cs="黑体"/>
          <w:sz w:val="32"/>
          <w:szCs w:val="32"/>
        </w:rPr>
      </w:pPr>
    </w:p>
    <w:p>
      <w:pPr>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第二十</w:t>
      </w:r>
      <w:r>
        <w:rPr>
          <w:rFonts w:hint="eastAsia" w:ascii="仿宋" w:hAnsi="仿宋" w:eastAsia="仿宋" w:cs="仿宋"/>
          <w:sz w:val="32"/>
          <w:szCs w:val="32"/>
          <w:lang w:eastAsia="zh-CN"/>
        </w:rPr>
        <w:t>七</w:t>
      </w:r>
      <w:r>
        <w:rPr>
          <w:rFonts w:hint="eastAsia" w:ascii="仿宋" w:hAnsi="仿宋" w:eastAsia="仿宋" w:cs="仿宋"/>
          <w:sz w:val="32"/>
          <w:szCs w:val="32"/>
        </w:rPr>
        <w:t>条</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各级财政部门、农业农村部门应当对农田建设补助资金</w:t>
      </w:r>
      <w:r>
        <w:rPr>
          <w:rFonts w:hint="eastAsia" w:ascii="仿宋" w:hAnsi="仿宋" w:eastAsia="仿宋" w:cs="仿宋"/>
          <w:sz w:val="32"/>
          <w:szCs w:val="32"/>
          <w:lang w:eastAsia="zh-CN"/>
        </w:rPr>
        <w:t>管</w:t>
      </w:r>
      <w:r>
        <w:rPr>
          <w:rFonts w:hint="eastAsia" w:ascii="仿宋" w:hAnsi="仿宋" w:eastAsia="仿宋" w:cs="仿宋"/>
          <w:sz w:val="32"/>
          <w:szCs w:val="32"/>
        </w:rPr>
        <w:t>理和项目实施</w:t>
      </w:r>
      <w:r>
        <w:rPr>
          <w:rFonts w:hint="eastAsia" w:ascii="仿宋" w:hAnsi="仿宋" w:eastAsia="仿宋" w:cs="仿宋"/>
          <w:sz w:val="32"/>
          <w:szCs w:val="32"/>
          <w:lang w:eastAsia="zh-CN"/>
        </w:rPr>
        <w:t>情况</w:t>
      </w:r>
      <w:r>
        <w:rPr>
          <w:rFonts w:hint="eastAsia" w:ascii="仿宋" w:hAnsi="仿宋" w:eastAsia="仿宋" w:cs="仿宋"/>
          <w:sz w:val="32"/>
          <w:szCs w:val="32"/>
        </w:rPr>
        <w:t>进行监督检查。分配、使用、管理农田建设补助资金的单位，应当依法接受审计、纪检监察部门的监督，对发现的问题，应及时制定整改措施并落实。</w:t>
      </w:r>
    </w:p>
    <w:p>
      <w:pPr>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第二十</w:t>
      </w:r>
      <w:r>
        <w:rPr>
          <w:rFonts w:hint="eastAsia" w:ascii="仿宋" w:hAnsi="仿宋" w:eastAsia="仿宋" w:cs="仿宋"/>
          <w:sz w:val="32"/>
          <w:szCs w:val="32"/>
          <w:lang w:eastAsia="zh-CN"/>
        </w:rPr>
        <w:t>八</w:t>
      </w:r>
      <w:r>
        <w:rPr>
          <w:rFonts w:hint="eastAsia" w:ascii="仿宋" w:hAnsi="仿宋" w:eastAsia="仿宋" w:cs="仿宋"/>
          <w:sz w:val="32"/>
          <w:szCs w:val="32"/>
        </w:rPr>
        <w:t>条</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农田建设补助资金使用管理实行绩效评价制度，评价结果作为农田建设补助资金分配的重要依据。具体执行财政部、农业农村部关于印发《农业相关转移支付资金绩效管理办法》的通知（财农[2019]48号）。</w:t>
      </w:r>
    </w:p>
    <w:p>
      <w:pPr>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第</w:t>
      </w:r>
      <w:r>
        <w:rPr>
          <w:rFonts w:hint="eastAsia" w:ascii="仿宋" w:hAnsi="仿宋" w:eastAsia="仿宋" w:cs="仿宋"/>
          <w:sz w:val="32"/>
          <w:szCs w:val="32"/>
          <w:lang w:eastAsia="zh-CN"/>
        </w:rPr>
        <w:t>二</w:t>
      </w:r>
      <w:r>
        <w:rPr>
          <w:rFonts w:hint="eastAsia" w:ascii="仿宋" w:hAnsi="仿宋" w:eastAsia="仿宋" w:cs="仿宋"/>
          <w:sz w:val="32"/>
          <w:szCs w:val="32"/>
        </w:rPr>
        <w:t>十</w:t>
      </w:r>
      <w:r>
        <w:rPr>
          <w:rFonts w:hint="eastAsia" w:ascii="仿宋" w:hAnsi="仿宋" w:eastAsia="仿宋" w:cs="仿宋"/>
          <w:sz w:val="32"/>
          <w:szCs w:val="32"/>
          <w:lang w:eastAsia="zh-CN"/>
        </w:rPr>
        <w:t>九</w:t>
      </w:r>
      <w:r>
        <w:rPr>
          <w:rFonts w:hint="eastAsia" w:ascii="仿宋" w:hAnsi="仿宋" w:eastAsia="仿宋" w:cs="仿宋"/>
          <w:sz w:val="32"/>
          <w:szCs w:val="32"/>
        </w:rPr>
        <w:t>条</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各级财政、农业农村主管部门及其工作人员在资金分配、审核等工作中，存在违反规定分配资金、向不符合条件的单位、个人（或项目）分配资金或者擅自超出规定的范围、标准分配或使用资金等，以及存在其他滥用职权、玩忽职守、徇私舞弊等违法违纪行为的，按照《中华人民共和国预算法》《中华人民共和国公务员法》《中华人民共和国监察法》《财政违法行为处罚处分条例》等国家有关规定追究相关责任；涉嫌犯罪的，移送司法机关处理。</w:t>
      </w:r>
    </w:p>
    <w:p>
      <w:pPr>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第</w:t>
      </w:r>
      <w:r>
        <w:rPr>
          <w:rFonts w:hint="eastAsia" w:ascii="仿宋" w:hAnsi="仿宋" w:eastAsia="仿宋" w:cs="仿宋"/>
          <w:sz w:val="32"/>
          <w:szCs w:val="32"/>
          <w:lang w:eastAsia="zh-CN"/>
        </w:rPr>
        <w:t>三</w:t>
      </w:r>
      <w:r>
        <w:rPr>
          <w:rFonts w:hint="eastAsia" w:ascii="仿宋" w:hAnsi="仿宋" w:eastAsia="仿宋" w:cs="仿宋"/>
          <w:sz w:val="32"/>
          <w:szCs w:val="32"/>
        </w:rPr>
        <w:t>十条</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资金使用单位和个人虚报冒领、骗取套取、挤占挪用农田建设补助资金，以及存在其他违反本办法规定行为的，按照《中华人民共和国预算法》《财政违法行为处罚处分条例》等有关规定追究相应责任。</w:t>
      </w:r>
    </w:p>
    <w:p>
      <w:pPr>
        <w:pageBreakBefore w:val="0"/>
        <w:widowControl w:val="0"/>
        <w:kinsoku/>
        <w:wordWrap/>
        <w:overflowPunct/>
        <w:topLinePunct w:val="0"/>
        <w:autoSpaceDE/>
        <w:autoSpaceDN/>
        <w:bidi w:val="0"/>
        <w:adjustRightInd/>
        <w:snapToGrid/>
        <w:spacing w:line="580" w:lineRule="exact"/>
        <w:textAlignment w:val="auto"/>
        <w:rPr>
          <w:rFonts w:hint="eastAsia"/>
          <w:sz w:val="32"/>
          <w:szCs w:val="32"/>
        </w:rPr>
      </w:pPr>
    </w:p>
    <w:p>
      <w:pPr>
        <w:pageBreakBefore w:val="0"/>
        <w:widowControl w:val="0"/>
        <w:numPr>
          <w:ilvl w:val="0"/>
          <w:numId w:val="0"/>
        </w:numPr>
        <w:kinsoku/>
        <w:wordWrap/>
        <w:overflowPunct/>
        <w:topLinePunct w:val="0"/>
        <w:autoSpaceDE/>
        <w:autoSpaceDN/>
        <w:bidi w:val="0"/>
        <w:adjustRightInd/>
        <w:snapToGrid/>
        <w:spacing w:line="580" w:lineRule="exact"/>
        <w:ind w:leftChars="0"/>
        <w:jc w:val="center"/>
        <w:textAlignment w:val="auto"/>
        <w:rPr>
          <w:rFonts w:hint="eastAsia" w:ascii="黑体" w:hAnsi="黑体" w:eastAsia="黑体" w:cs="黑体"/>
          <w:sz w:val="32"/>
          <w:szCs w:val="32"/>
        </w:rPr>
      </w:pPr>
      <w:r>
        <w:rPr>
          <w:rFonts w:hint="eastAsia" w:ascii="黑体" w:hAnsi="黑体" w:eastAsia="黑体" w:cs="黑体"/>
          <w:sz w:val="32"/>
          <w:szCs w:val="32"/>
          <w:lang w:eastAsia="zh-CN"/>
        </w:rPr>
        <w:t>第七章</w:t>
      </w:r>
      <w:r>
        <w:rPr>
          <w:rFonts w:hint="eastAsia" w:ascii="黑体" w:hAnsi="黑体" w:eastAsia="黑体" w:cs="黑体"/>
          <w:sz w:val="32"/>
          <w:szCs w:val="32"/>
          <w:lang w:val="en-US" w:eastAsia="zh-CN"/>
        </w:rPr>
        <w:t xml:space="preserve"> </w:t>
      </w:r>
      <w:r>
        <w:rPr>
          <w:rFonts w:hint="eastAsia" w:ascii="黑体" w:hAnsi="黑体" w:eastAsia="黑体" w:cs="黑体"/>
          <w:sz w:val="32"/>
          <w:szCs w:val="32"/>
        </w:rPr>
        <w:t>附则</w:t>
      </w:r>
    </w:p>
    <w:p>
      <w:pPr>
        <w:pageBreakBefore w:val="0"/>
        <w:widowControl w:val="0"/>
        <w:numPr>
          <w:ilvl w:val="0"/>
          <w:numId w:val="0"/>
        </w:numPr>
        <w:kinsoku/>
        <w:wordWrap/>
        <w:overflowPunct/>
        <w:topLinePunct w:val="0"/>
        <w:autoSpaceDE/>
        <w:autoSpaceDN/>
        <w:bidi w:val="0"/>
        <w:adjustRightInd/>
        <w:snapToGrid/>
        <w:spacing w:line="580" w:lineRule="exact"/>
        <w:ind w:leftChars="0"/>
        <w:jc w:val="center"/>
        <w:textAlignment w:val="auto"/>
        <w:rPr>
          <w:rFonts w:hint="eastAsia" w:ascii="黑体" w:hAnsi="黑体" w:eastAsia="黑体" w:cs="黑体"/>
          <w:sz w:val="32"/>
          <w:szCs w:val="32"/>
        </w:rPr>
      </w:pPr>
    </w:p>
    <w:p>
      <w:pPr>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第</w:t>
      </w:r>
      <w:r>
        <w:rPr>
          <w:rFonts w:hint="eastAsia" w:ascii="仿宋" w:hAnsi="仿宋" w:eastAsia="仿宋" w:cs="仿宋"/>
          <w:sz w:val="32"/>
          <w:szCs w:val="32"/>
          <w:lang w:eastAsia="zh-CN"/>
        </w:rPr>
        <w:t>三</w:t>
      </w:r>
      <w:r>
        <w:rPr>
          <w:rFonts w:hint="eastAsia" w:ascii="仿宋" w:hAnsi="仿宋" w:eastAsia="仿宋" w:cs="仿宋"/>
          <w:sz w:val="32"/>
          <w:szCs w:val="32"/>
        </w:rPr>
        <w:t>十</w:t>
      </w:r>
      <w:r>
        <w:rPr>
          <w:rFonts w:hint="eastAsia" w:ascii="仿宋" w:hAnsi="仿宋" w:eastAsia="仿宋" w:cs="仿宋"/>
          <w:sz w:val="32"/>
          <w:szCs w:val="32"/>
          <w:lang w:eastAsia="zh-CN"/>
        </w:rPr>
        <w:t>一</w:t>
      </w:r>
      <w:r>
        <w:rPr>
          <w:rFonts w:hint="eastAsia" w:ascii="仿宋" w:hAnsi="仿宋" w:eastAsia="仿宋" w:cs="仿宋"/>
          <w:sz w:val="32"/>
          <w:szCs w:val="32"/>
        </w:rPr>
        <w:t>条</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本办法由省财政厅会同省农业农村厅负责解释。</w:t>
      </w:r>
    </w:p>
    <w:p>
      <w:pPr>
        <w:pageBreakBefore w:val="0"/>
        <w:widowControl w:val="0"/>
        <w:kinsoku/>
        <w:wordWrap/>
        <w:overflowPunct/>
        <w:topLinePunct w:val="0"/>
        <w:autoSpaceDE/>
        <w:autoSpaceDN/>
        <w:bidi w:val="0"/>
        <w:adjustRightInd/>
        <w:snapToGrid/>
        <w:spacing w:line="580" w:lineRule="exact"/>
        <w:ind w:firstLine="640" w:firstLineChars="200"/>
        <w:textAlignment w:val="auto"/>
        <w:rPr>
          <w:sz w:val="32"/>
          <w:szCs w:val="32"/>
        </w:rPr>
      </w:pPr>
      <w:r>
        <w:rPr>
          <w:rFonts w:hint="eastAsia" w:ascii="仿宋" w:hAnsi="仿宋" w:eastAsia="仿宋" w:cs="仿宋"/>
          <w:sz w:val="32"/>
          <w:szCs w:val="32"/>
        </w:rPr>
        <w:t>第</w:t>
      </w:r>
      <w:r>
        <w:rPr>
          <w:rFonts w:hint="eastAsia" w:ascii="仿宋" w:hAnsi="仿宋" w:eastAsia="仿宋" w:cs="仿宋"/>
          <w:sz w:val="32"/>
          <w:szCs w:val="32"/>
          <w:lang w:eastAsia="zh-CN"/>
        </w:rPr>
        <w:t>三</w:t>
      </w:r>
      <w:r>
        <w:rPr>
          <w:rFonts w:hint="eastAsia" w:ascii="仿宋" w:hAnsi="仿宋" w:eastAsia="仿宋" w:cs="仿宋"/>
          <w:sz w:val="32"/>
          <w:szCs w:val="32"/>
        </w:rPr>
        <w:t>十</w:t>
      </w:r>
      <w:r>
        <w:rPr>
          <w:rFonts w:hint="eastAsia" w:ascii="仿宋" w:hAnsi="仿宋" w:eastAsia="仿宋" w:cs="仿宋"/>
          <w:sz w:val="32"/>
          <w:szCs w:val="32"/>
          <w:lang w:eastAsia="zh-CN"/>
        </w:rPr>
        <w:t>二</w:t>
      </w:r>
      <w:r>
        <w:rPr>
          <w:rFonts w:hint="eastAsia" w:ascii="仿宋" w:hAnsi="仿宋" w:eastAsia="仿宋" w:cs="仿宋"/>
          <w:sz w:val="32"/>
          <w:szCs w:val="32"/>
        </w:rPr>
        <w:t>条</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本办法自2019年  月  日起施行。</w:t>
      </w: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0" distR="0" simplePos="0" relativeHeight="1024" behindDoc="0" locked="0" layoutInCell="1" allowOverlap="1">
              <wp:simplePos x="0" y="0"/>
              <wp:positionH relativeFrom="margin">
                <wp:align>center</wp:align>
              </wp:positionH>
              <wp:positionV relativeFrom="paragraph">
                <wp:posOffset>0</wp:posOffset>
              </wp:positionV>
              <wp:extent cx="1828800" cy="1828800"/>
              <wp:effectExtent l="0" t="0" r="0" b="0"/>
              <wp:wrapNone/>
              <wp:docPr id="4097" name="文本框 1"/>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pPr>
                            <w:pStyle w:val="4"/>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vert="horz" wrap="none" lIns="0" tIns="0" rIns="0" bIns="0" anchor="t" upright="0">
                      <a:spAutoFit/>
                    </wps:bodyPr>
                  </wps:wsp>
                </a:graphicData>
              </a:graphic>
            </wp:anchor>
          </w:drawing>
        </mc:Choice>
        <mc:Fallback>
          <w:pict>
            <v:rect id="文本框 1" o:spid="_x0000_s1026" o:spt="1" style="position:absolute;left:0pt;margin-top:0pt;height:144pt;width:144pt;mso-position-horizontal:center;mso-position-horizontal-relative:margin;mso-wrap-style:none;z-index:102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uXW5&#10;UtAAAAAFAQAADwAAAAAAAAABACAAAAAiAAAAZHJzL2Rvd25yZXYueG1sUEsBAhQAFAAAAAgAh07i&#10;QAR+Hmm4AQAAUAMAAA4AAAAAAAAAAQAgAAAAHwEAAGRycy9lMm9Eb2MueG1sUEsFBgAAAAAGAAYA&#10;WQEAAEkFAAAAAA==&#10;">
              <v:fill on="f" focussize="0,0"/>
              <v:stroke on="f"/>
              <v:imagedata o:title=""/>
              <o:lock v:ext="edit" aspectratio="f"/>
              <v:textbox inset="0mm,0mm,0mm,0mm" style="mso-fit-shape-to-text:t;">
                <w:txbxContent>
                  <w:p>
                    <w:pPr>
                      <w:pStyle w:val="4"/>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rect>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A371B6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宋体"/>
      <w:kern w:val="2"/>
      <w:sz w:val="21"/>
      <w:szCs w:val="24"/>
      <w:lang w:val="en-US" w:eastAsia="zh-CN" w:bidi="ar-SA"/>
    </w:rPr>
  </w:style>
  <w:style w:type="paragraph" w:styleId="2">
    <w:name w:val="heading 1"/>
    <w:basedOn w:val="1"/>
    <w:next w:val="1"/>
    <w:qFormat/>
    <w:uiPriority w:val="0"/>
    <w:pPr>
      <w:keepNext/>
      <w:keepLines/>
      <w:spacing w:before="340" w:beforeAutospacing="0" w:after="330" w:afterAutospacing="0" w:line="576" w:lineRule="auto"/>
      <w:outlineLvl w:val="0"/>
    </w:pPr>
    <w:rPr>
      <w:b/>
      <w:kern w:val="44"/>
      <w:sz w:val="44"/>
    </w:rPr>
  </w:style>
  <w:style w:type="paragraph" w:styleId="3">
    <w:name w:val="heading 2"/>
    <w:basedOn w:val="1"/>
    <w:next w:val="1"/>
    <w:qFormat/>
    <w:uiPriority w:val="0"/>
    <w:pPr>
      <w:keepNext/>
      <w:keepLines/>
      <w:spacing w:before="260" w:beforeAutospacing="0" w:after="260" w:afterAutospacing="0" w:line="413" w:lineRule="auto"/>
      <w:outlineLvl w:val="1"/>
    </w:pPr>
    <w:rPr>
      <w:rFonts w:ascii="Arial" w:hAnsi="Arial" w:eastAsia="黑体"/>
      <w:b/>
      <w:sz w:val="32"/>
    </w:rPr>
  </w:style>
  <w:style w:type="character" w:default="1" w:styleId="8">
    <w:name w:val="Default Paragraph Font"/>
    <w:qFormat/>
    <w:uiPriority w:val="0"/>
  </w:style>
  <w:style w:type="table" w:default="1" w:styleId="7">
    <w:name w:val="Normal Table"/>
    <w:qFormat/>
    <w:uiPriority w:val="0"/>
    <w:tblPr>
      <w:tblCellMar>
        <w:top w:w="0" w:type="dxa"/>
        <w:left w:w="108" w:type="dxa"/>
        <w:bottom w:w="0" w:type="dxa"/>
        <w:right w:w="108" w:type="dxa"/>
      </w:tblCellMar>
    </w:tbl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Normal (Web)"/>
    <w:basedOn w:val="1"/>
    <w:qFormat/>
    <w:uiPriority w:val="0"/>
    <w:pPr>
      <w:spacing w:before="0" w:beforeAutospacing="1" w:after="0" w:afterAutospacing="1"/>
      <w:ind w:left="0" w:right="0"/>
      <w:jc w:val="left"/>
    </w:pPr>
    <w:rPr>
      <w:kern w:val="0"/>
      <w:sz w:val="24"/>
      <w:lang w:val="en-US" w:eastAsia="zh-CN"/>
    </w:rPr>
  </w:style>
  <w:style w:type="character" w:styleId="9">
    <w:name w:val="Strong"/>
    <w:basedOn w:val="8"/>
    <w:qFormat/>
    <w:uiPriority w:val="0"/>
    <w:rPr>
      <w:b/>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4573</Words>
  <Characters>4628</Characters>
  <Paragraphs>78</Paragraphs>
  <TotalTime>92</TotalTime>
  <ScaleCrop>false</ScaleCrop>
  <LinksUpToDate>false</LinksUpToDate>
  <CharactersWithSpaces>4693</CharactersWithSpaces>
  <Application>WPS Office_11.1.0.9175_F1E327BC-269C-435d-A152-05C5408002CA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2019-10-23T02:05:00Z</dcterms:created>
  <dc:creator>一路向前</dc:creator>
  <cp:lastModifiedBy>汉斯</cp:lastModifiedBy>
  <cp:lastPrinted>2019-11-14T00:34:00Z</cp:lastPrinted>
  <dcterms:modified xsi:type="dcterms:W3CDTF">2019-11-25T05:53:00Z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2052-11.1.0.9175</vt:lpwstr>
  </property>
</Properties>
</file>