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both"/>
        <w:rPr>
          <w:rFonts w:hint="eastAsia" w:ascii="仿宋_GB2312" w:hAnsi="仿宋_GB2312" w:eastAsia="仿宋_GB2312" w:cs="仿宋_GB2312"/>
          <w:spacing w:val="-2"/>
          <w:kern w:val="2"/>
          <w:sz w:val="32"/>
          <w:szCs w:val="32"/>
          <w:lang w:val="en" w:eastAsia="zh-CN" w:bidi="ar-SA"/>
        </w:rPr>
      </w:pPr>
      <w:r>
        <w:rPr>
          <w:rFonts w:hint="eastAsia" w:ascii="仿宋_GB2312" w:hAnsi="仿宋_GB2312" w:eastAsia="仿宋_GB2312" w:cs="仿宋_GB2312"/>
          <w:spacing w:val="-2"/>
          <w:kern w:val="2"/>
          <w:sz w:val="32"/>
          <w:szCs w:val="32"/>
          <w:lang w:val="en" w:eastAsia="zh-CN" w:bidi="ar-SA"/>
        </w:rPr>
        <w:t>附件</w:t>
      </w:r>
    </w:p>
    <w:p>
      <w:pPr>
        <w:spacing w:line="560" w:lineRule="exact"/>
        <w:jc w:val="both"/>
        <w:rPr>
          <w:rFonts w:hint="eastAsia" w:ascii="仿宋_GB2312" w:hAnsi="Arial" w:eastAsia="仿宋_GB2312" w:cs="Arial"/>
          <w:color w:val="000000"/>
          <w:kern w:val="0"/>
          <w:sz w:val="30"/>
          <w:szCs w:val="30"/>
          <w:lang w:val="en" w:eastAsia="zh-CN"/>
        </w:rPr>
      </w:pPr>
    </w:p>
    <w:p>
      <w:pPr>
        <w:pStyle w:val="3"/>
        <w:autoSpaceDE w:val="0"/>
        <w:autoSpaceDN w:val="0"/>
        <w:adjustRightInd w:val="0"/>
        <w:snapToGrid w:val="0"/>
        <w:spacing w:line="588" w:lineRule="atLeast"/>
        <w:jc w:val="center"/>
        <w:rPr>
          <w:rFonts w:hint="eastAsia" w:ascii="方正小标宋简体" w:hAnsi="方正小标宋简体" w:eastAsia="方正小标宋简体" w:cs="方正小标宋简体"/>
          <w:spacing w:val="-2"/>
          <w:sz w:val="44"/>
          <w:szCs w:val="44"/>
          <w:lang w:val="en-US" w:eastAsia="zh-CN"/>
        </w:rPr>
      </w:pPr>
      <w:r>
        <w:rPr>
          <w:rFonts w:hint="eastAsia" w:ascii="方正小标宋简体" w:hAnsi="方正小标宋简体" w:eastAsia="方正小标宋简体" w:cs="方正小标宋简体"/>
          <w:spacing w:val="-2"/>
          <w:sz w:val="44"/>
          <w:szCs w:val="44"/>
          <w:lang w:val="en-US" w:eastAsia="zh-CN"/>
        </w:rPr>
        <w:t>国家自然科学基金资助项目资金管理办法</w:t>
      </w:r>
    </w:p>
    <w:p>
      <w:pPr>
        <w:spacing w:line="560" w:lineRule="exact"/>
        <w:jc w:val="center"/>
        <w:rPr>
          <w:rFonts w:ascii="仿宋_GB2312" w:hAnsi="Arial" w:eastAsia="仿宋_GB2312" w:cs="Arial"/>
          <w:color w:val="000000"/>
          <w:kern w:val="0"/>
          <w:sz w:val="30"/>
          <w:szCs w:val="30"/>
        </w:rPr>
      </w:pPr>
    </w:p>
    <w:p>
      <w:pPr>
        <w:widowControl/>
        <w:numPr>
          <w:ilvl w:val="255"/>
          <w:numId w:val="0"/>
        </w:numPr>
        <w:spacing w:afterLines="50" w:line="560" w:lineRule="exact"/>
        <w:jc w:val="center"/>
        <w:rPr>
          <w:rFonts w:ascii="黑体" w:hAnsi="Arial" w:eastAsia="黑体" w:cs="Arial"/>
          <w:color w:val="000000"/>
          <w:kern w:val="0"/>
          <w:sz w:val="32"/>
          <w:szCs w:val="32"/>
        </w:rPr>
      </w:pPr>
      <w:r>
        <w:rPr>
          <w:rFonts w:hint="eastAsia" w:ascii="黑体" w:hAnsi="Arial" w:eastAsia="黑体" w:cs="Arial"/>
          <w:color w:val="000000"/>
          <w:kern w:val="0"/>
          <w:sz w:val="32"/>
          <w:szCs w:val="32"/>
        </w:rPr>
        <w:t>第一章  总 则</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
        </w:rPr>
        <w:t>第一条</w:t>
      </w:r>
      <w:r>
        <w:rPr>
          <w:rFonts w:hint="eastAsia" w:ascii="仿宋_GB2312" w:hAnsi="仿宋_GB2312" w:eastAsia="仿宋_GB2312" w:cs="仿宋_GB2312"/>
          <w:spacing w:val="-2"/>
          <w:sz w:val="32"/>
          <w:szCs w:val="32"/>
          <w:lang w:val="en"/>
        </w:rPr>
        <w:t xml:space="preserve">  为规范国家自然科学基金资助项目（以下简称项目）资金管理和使用，提高资金使用效益，根据《国家自然科学基金条例》</w:t>
      </w:r>
      <w:r>
        <w:rPr>
          <w:rFonts w:hint="eastAsia" w:ascii="仿宋_GB2312" w:hAnsi="仿宋_GB2312" w:eastAsia="仿宋_GB2312" w:cs="仿宋_GB2312"/>
          <w:spacing w:val="-2"/>
          <w:sz w:val="32"/>
          <w:szCs w:val="32"/>
          <w:lang w:val="en" w:eastAsia="zh-CN"/>
        </w:rPr>
        <w:t>、</w:t>
      </w:r>
      <w:r>
        <w:rPr>
          <w:rFonts w:hint="eastAsia" w:ascii="仿宋_GB2312" w:hAnsi="仿宋_GB2312" w:eastAsia="仿宋_GB2312" w:cs="仿宋_GB2312"/>
          <w:spacing w:val="-2"/>
          <w:sz w:val="32"/>
          <w:szCs w:val="32"/>
          <w:lang w:val="en"/>
        </w:rPr>
        <w:t>《中共中央办公厅 国务院办公厅印发&lt;关于进一步完善中央财政科研项目资金管理等政策的若干意见&gt;的通知》</w:t>
      </w:r>
      <w:r>
        <w:rPr>
          <w:rFonts w:hint="eastAsia" w:ascii="仿宋_GB2312" w:hAnsi="仿宋_GB2312" w:eastAsia="仿宋_GB2312" w:cs="仿宋_GB2312"/>
          <w:spacing w:val="-2"/>
          <w:sz w:val="32"/>
          <w:szCs w:val="32"/>
          <w:lang w:val="en" w:eastAsia="zh-CN"/>
        </w:rPr>
        <w:t>、</w:t>
      </w:r>
      <w:r>
        <w:rPr>
          <w:rFonts w:hint="eastAsia" w:ascii="仿宋_GB2312" w:hAnsi="仿宋_GB2312" w:eastAsia="仿宋_GB2312" w:cs="仿宋_GB2312"/>
          <w:spacing w:val="-2"/>
          <w:sz w:val="32"/>
          <w:szCs w:val="32"/>
          <w:lang w:val="en"/>
        </w:rPr>
        <w:t>《国务院关于优化科研管理提升科研绩效若干措施的通知》</w:t>
      </w:r>
      <w:r>
        <w:rPr>
          <w:rFonts w:hint="eastAsia" w:ascii="仿宋_GB2312" w:hAnsi="仿宋_GB2312" w:eastAsia="仿宋_GB2312" w:cs="仿宋_GB2312"/>
          <w:spacing w:val="-2"/>
          <w:sz w:val="32"/>
          <w:szCs w:val="32"/>
          <w:lang w:val="en" w:eastAsia="zh-CN"/>
        </w:rPr>
        <w:t>（</w:t>
      </w:r>
      <w:r>
        <w:rPr>
          <w:rFonts w:hint="eastAsia" w:ascii="仿宋_GB2312" w:hAnsi="仿宋_GB2312" w:eastAsia="仿宋_GB2312" w:cs="仿宋_GB2312"/>
          <w:spacing w:val="-2"/>
          <w:sz w:val="32"/>
          <w:szCs w:val="32"/>
          <w:lang w:val="en"/>
        </w:rPr>
        <w:t>国发〔20</w:t>
      </w:r>
      <w:r>
        <w:rPr>
          <w:rFonts w:hint="eastAsia" w:ascii="仿宋_GB2312" w:hAnsi="仿宋_GB2312" w:eastAsia="仿宋_GB2312" w:cs="仿宋_GB2312"/>
          <w:spacing w:val="-2"/>
          <w:sz w:val="32"/>
          <w:szCs w:val="32"/>
          <w:lang w:val="en-US" w:eastAsia="zh-CN"/>
        </w:rPr>
        <w:t>18</w:t>
      </w:r>
      <w:r>
        <w:rPr>
          <w:rFonts w:hint="eastAsia" w:ascii="仿宋_GB2312" w:hAnsi="仿宋_GB2312" w:eastAsia="仿宋_GB2312" w:cs="仿宋_GB2312"/>
          <w:spacing w:val="-2"/>
          <w:sz w:val="32"/>
          <w:szCs w:val="32"/>
          <w:lang w:val="en"/>
        </w:rPr>
        <w:t>〕25号</w:t>
      </w:r>
      <w:r>
        <w:rPr>
          <w:rFonts w:hint="eastAsia" w:ascii="仿宋_GB2312" w:hAnsi="仿宋_GB2312" w:eastAsia="仿宋_GB2312" w:cs="仿宋_GB2312"/>
          <w:spacing w:val="-2"/>
          <w:sz w:val="32"/>
          <w:szCs w:val="32"/>
          <w:lang w:val="en" w:eastAsia="zh-CN"/>
        </w:rPr>
        <w:t>）、</w:t>
      </w:r>
      <w:r>
        <w:rPr>
          <w:rFonts w:hint="eastAsia" w:ascii="仿宋_GB2312" w:hAnsi="仿宋_GB2312" w:eastAsia="仿宋_GB2312" w:cs="仿宋_GB2312"/>
          <w:spacing w:val="-2"/>
          <w:sz w:val="32"/>
          <w:szCs w:val="32"/>
          <w:lang w:val="en"/>
        </w:rPr>
        <w:t>《国务院办公厅关于改革完善中央财政科研经费管理的若干意见》（国办发〔2021〕32号）</w:t>
      </w:r>
      <w:r>
        <w:rPr>
          <w:rFonts w:hint="eastAsia" w:ascii="仿宋_GB2312" w:hAnsi="仿宋_GB2312" w:eastAsia="仿宋_GB2312" w:cs="仿宋_GB2312"/>
          <w:spacing w:val="-2"/>
          <w:sz w:val="32"/>
          <w:szCs w:val="32"/>
          <w:lang w:val="en" w:eastAsia="zh-CN"/>
        </w:rPr>
        <w:t>等要求，以及</w:t>
      </w:r>
      <w:r>
        <w:rPr>
          <w:rFonts w:hint="eastAsia" w:ascii="仿宋_GB2312" w:hAnsi="仿宋_GB2312" w:eastAsia="仿宋_GB2312" w:cs="仿宋_GB2312"/>
          <w:spacing w:val="-2"/>
          <w:sz w:val="32"/>
          <w:szCs w:val="32"/>
          <w:lang w:val="en"/>
        </w:rPr>
        <w:t>国家</w:t>
      </w:r>
      <w:r>
        <w:rPr>
          <w:rFonts w:hint="eastAsia" w:ascii="仿宋_GB2312" w:hAnsi="仿宋_GB2312" w:eastAsia="仿宋_GB2312" w:cs="仿宋_GB2312"/>
          <w:spacing w:val="-2"/>
          <w:sz w:val="32"/>
          <w:szCs w:val="32"/>
          <w:lang w:val="en" w:eastAsia="zh-CN"/>
        </w:rPr>
        <w:t>有关财经法规和财务管理制度，结合国家自然科学基金</w:t>
      </w:r>
      <w:r>
        <w:rPr>
          <w:rFonts w:hint="eastAsia" w:ascii="仿宋_GB2312" w:hAnsi="仿宋_GB2312" w:eastAsia="仿宋_GB2312" w:cs="仿宋_GB2312"/>
          <w:spacing w:val="-2"/>
          <w:sz w:val="32"/>
          <w:szCs w:val="32"/>
          <w:lang w:val="en"/>
        </w:rPr>
        <w:t>（以下简称自然科学基金）</w:t>
      </w:r>
      <w:r>
        <w:rPr>
          <w:rFonts w:hint="eastAsia" w:ascii="仿宋_GB2312" w:hAnsi="仿宋_GB2312" w:eastAsia="仿宋_GB2312" w:cs="仿宋_GB2312"/>
          <w:spacing w:val="-2"/>
          <w:sz w:val="32"/>
          <w:szCs w:val="32"/>
          <w:lang w:val="en" w:eastAsia="zh-CN"/>
        </w:rPr>
        <w:t>管理特点，</w:t>
      </w:r>
      <w:r>
        <w:rPr>
          <w:rFonts w:hint="eastAsia" w:ascii="仿宋_GB2312" w:hAnsi="仿宋_GB2312" w:eastAsia="仿宋_GB2312" w:cs="仿宋_GB2312"/>
          <w:spacing w:val="-2"/>
          <w:sz w:val="32"/>
          <w:szCs w:val="32"/>
          <w:lang w:val="en"/>
        </w:rPr>
        <w:t>制定本办法。</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第二条</w:t>
      </w:r>
      <w:r>
        <w:rPr>
          <w:rFonts w:hint="eastAsia" w:ascii="仿宋_GB2312" w:hAnsi="仿宋_GB2312" w:eastAsia="仿宋_GB2312" w:cs="仿宋_GB2312"/>
          <w:spacing w:val="-2"/>
          <w:sz w:val="32"/>
          <w:szCs w:val="32"/>
          <w:lang w:val="en"/>
        </w:rPr>
        <w:t xml:space="preserve">  本办法所称项目资金，是指自然科学基金用于资助科学技术人员开展基础研究和科学前沿探索，支持人才和团队建设的专项资金。</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第三条</w:t>
      </w:r>
      <w:r>
        <w:rPr>
          <w:rFonts w:hint="eastAsia" w:ascii="仿宋_GB2312" w:hAnsi="仿宋_GB2312" w:eastAsia="仿宋_GB2312" w:cs="仿宋_GB2312"/>
          <w:spacing w:val="-2"/>
          <w:sz w:val="32"/>
          <w:szCs w:val="32"/>
          <w:lang w:val="en"/>
        </w:rPr>
        <w:t xml:space="preserve">  财政部根据国家科技发展规划，结合自然科学基金资金需求和国家财力可能，将项目资金列入中央财政预算，并负责宏观管理和监督。</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第四条</w:t>
      </w:r>
      <w:r>
        <w:rPr>
          <w:rFonts w:hint="eastAsia" w:ascii="黑体" w:hAnsi="黑体" w:eastAsia="黑体" w:cs="黑体"/>
          <w:spacing w:val="-2"/>
          <w:sz w:val="32"/>
          <w:szCs w:val="32"/>
          <w:lang w:val="en" w:eastAsia="zh-CN"/>
        </w:rPr>
        <w:t xml:space="preserve"> </w:t>
      </w:r>
      <w:r>
        <w:rPr>
          <w:rFonts w:hint="eastAsia" w:ascii="仿宋_GB2312" w:hAnsi="仿宋_GB2312" w:eastAsia="仿宋_GB2312" w:cs="仿宋_GB2312"/>
          <w:spacing w:val="-2"/>
          <w:sz w:val="32"/>
          <w:szCs w:val="32"/>
          <w:lang w:val="en"/>
        </w:rPr>
        <w:t xml:space="preserve"> 国家自然科学基金委员会（以下简称自然科学基金委）依法负责项目的立项和审批，并对项目资金进行具体管理和监督。</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第五条</w:t>
      </w:r>
      <w:r>
        <w:rPr>
          <w:rFonts w:hint="eastAsia" w:ascii="黑体" w:hAnsi="黑体" w:eastAsia="黑体" w:cs="黑体"/>
          <w:spacing w:val="-2"/>
          <w:sz w:val="32"/>
          <w:szCs w:val="32"/>
          <w:lang w:val="en" w:eastAsia="zh-CN"/>
        </w:rPr>
        <w:t xml:space="preserve"> </w:t>
      </w:r>
      <w:r>
        <w:rPr>
          <w:rFonts w:hint="eastAsia" w:ascii="仿宋_GB2312" w:hAnsi="仿宋_GB2312" w:eastAsia="仿宋_GB2312" w:cs="仿宋_GB2312"/>
          <w:spacing w:val="-2"/>
          <w:sz w:val="32"/>
          <w:szCs w:val="32"/>
          <w:lang w:val="en"/>
        </w:rPr>
        <w:t xml:space="preserve"> 依托单位是项目资金管理的责任主体，应当建立健全“统一领导、分级管理、责任到人”的项目资金管理体制和制度，完善内部控制、绩效管理和监督约束机制，合理确定科研、财务、人事、资产、审计、监察等部门的责任和权限，加强对项目资金的管理和监督。</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仿宋_GB2312" w:hAnsi="仿宋_GB2312" w:eastAsia="仿宋_GB2312" w:cs="仿宋_GB2312"/>
          <w:spacing w:val="-2"/>
          <w:sz w:val="32"/>
          <w:szCs w:val="32"/>
          <w:lang w:val="en"/>
        </w:rPr>
        <w:t>依托单位应当落实项目承诺的自筹资金及其他配套条件，对项目组织实施提供条件保障。</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第六条</w:t>
      </w:r>
      <w:r>
        <w:rPr>
          <w:rFonts w:hint="eastAsia" w:ascii="仿宋_GB2312" w:hAnsi="仿宋_GB2312" w:eastAsia="仿宋_GB2312" w:cs="仿宋_GB2312"/>
          <w:spacing w:val="-2"/>
          <w:sz w:val="32"/>
          <w:szCs w:val="32"/>
          <w:lang w:val="en"/>
        </w:rPr>
        <w:t xml:space="preserve">  </w:t>
      </w:r>
      <w:r>
        <w:rPr>
          <w:rFonts w:hint="eastAsia" w:ascii="仿宋_GB2312" w:hAnsi="仿宋_GB2312" w:eastAsia="仿宋_GB2312" w:cs="仿宋_GB2312"/>
          <w:spacing w:val="-2"/>
          <w:sz w:val="32"/>
          <w:szCs w:val="32"/>
          <w:lang w:val="en-US" w:eastAsia="zh-CN"/>
        </w:rPr>
        <w:t>项目负责人是项目资金使用的直接责任人，对资金使用的合规性、合理性、真实性和相关性负责</w:t>
      </w:r>
      <w:r>
        <w:rPr>
          <w:rFonts w:hint="eastAsia" w:ascii="仿宋_GB2312" w:hAnsi="仿宋_GB2312" w:eastAsia="仿宋_GB2312" w:cs="仿宋_GB2312"/>
          <w:spacing w:val="-2"/>
          <w:sz w:val="32"/>
          <w:szCs w:val="32"/>
          <w:lang w:val="en"/>
        </w:rPr>
        <w:t>。</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第七条</w:t>
      </w:r>
      <w:r>
        <w:rPr>
          <w:rFonts w:hint="eastAsia" w:ascii="黑体" w:hAnsi="黑体" w:eastAsia="黑体" w:cs="黑体"/>
          <w:spacing w:val="-2"/>
          <w:sz w:val="32"/>
          <w:szCs w:val="32"/>
          <w:lang w:val="en" w:eastAsia="zh-CN"/>
        </w:rPr>
        <w:t xml:space="preserve"> </w:t>
      </w:r>
      <w:r>
        <w:rPr>
          <w:rFonts w:hint="eastAsia" w:ascii="仿宋_GB2312" w:hAnsi="仿宋_GB2312" w:eastAsia="仿宋_GB2312" w:cs="仿宋_GB2312"/>
          <w:spacing w:val="-2"/>
          <w:sz w:val="32"/>
          <w:szCs w:val="32"/>
          <w:lang w:val="en"/>
        </w:rPr>
        <w:t xml:space="preserve"> 根据预算管理方式不同，自然科学基金项目资金管理分为包干制和预算制。</w:t>
      </w:r>
    </w:p>
    <w:p>
      <w:pPr>
        <w:spacing w:line="560" w:lineRule="exact"/>
        <w:ind w:firstLine="572" w:firstLineChars="179"/>
        <w:rPr>
          <w:rFonts w:hint="eastAsia" w:ascii="仿宋_GB2312" w:eastAsia="仿宋_GB2312"/>
          <w:sz w:val="32"/>
          <w:szCs w:val="32"/>
        </w:rPr>
      </w:pPr>
    </w:p>
    <w:p>
      <w:pPr>
        <w:widowControl/>
        <w:spacing w:afterLines="50" w:line="560" w:lineRule="exact"/>
        <w:jc w:val="center"/>
        <w:rPr>
          <w:rFonts w:ascii="黑体" w:hAnsi="Arial" w:eastAsia="黑体" w:cs="Arial"/>
          <w:bCs/>
          <w:color w:val="000000"/>
          <w:kern w:val="0"/>
          <w:sz w:val="32"/>
          <w:szCs w:val="32"/>
        </w:rPr>
      </w:pPr>
      <w:r>
        <w:rPr>
          <w:rFonts w:hint="eastAsia" w:ascii="黑体" w:hAnsi="Arial" w:eastAsia="黑体" w:cs="Arial"/>
          <w:bCs/>
          <w:color w:val="000000"/>
          <w:kern w:val="0"/>
          <w:sz w:val="32"/>
          <w:szCs w:val="32"/>
        </w:rPr>
        <w:t>第二章  项目资金开支范围</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第八条</w:t>
      </w:r>
      <w:r>
        <w:rPr>
          <w:rFonts w:hint="eastAsia" w:ascii="仿宋_GB2312" w:hAnsi="仿宋_GB2312" w:eastAsia="仿宋_GB2312" w:cs="仿宋_GB2312"/>
          <w:spacing w:val="-2"/>
          <w:sz w:val="32"/>
          <w:szCs w:val="32"/>
          <w:lang w:val="en-US" w:eastAsia="zh-CN"/>
        </w:rPr>
        <w:t xml:space="preserve">  项目资金支出是指与项目研究工作相关的、由项目资金支付的各项费用支出。项目资金由直接费用和间接费用组成。</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第九条 </w:t>
      </w:r>
      <w:r>
        <w:rPr>
          <w:rFonts w:hint="eastAsia" w:ascii="仿宋_GB2312" w:hAnsi="仿宋_GB2312" w:eastAsia="仿宋_GB2312" w:cs="仿宋_GB2312"/>
          <w:spacing w:val="-2"/>
          <w:sz w:val="32"/>
          <w:szCs w:val="32"/>
          <w:lang w:val="en-US" w:eastAsia="zh-CN"/>
        </w:rPr>
        <w:t xml:space="preserve"> 直接费用是指在项目实施过程中发生的与之直接相关的费用，主要包括：</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设备费：是指在项目实施过程中购置或试制专用仪器设备，对现有仪器设备进行升级改造，以及租赁外单位仪器设备而发生的费用。计算类仪器设备和软件工具可在设备费科目列支。应当严格控制设备购置，鼓励开放共享、自主研制、租赁专用仪器设备以及对现有仪器设备进行升级改造，避免重复购置。</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业务费：是指项目实施过程中消耗的各种材料、辅助材料等低值易耗品的采购、运输、装卸、整理等费用，发生的测试化验加工、燃料动力、出版/文献/信息传播/知识产权事务、会议/差旅/国际合作交流等费用，以及其他相关支出。</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（三）劳务费：是指在项目实施过程中支付给参与项目研究的研究生、博士后、访问学者以及项目聘用的研究人员、科研辅助人员等的劳务性费用，以及支付给临时聘请的咨询专家的费用等。</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项目聘用人员的劳务费开支标准，参照当地科学研究和技术服务业从业人员平均工资水平，根据其在项目研究中承担的工作任务确定，其由单位缴纳的社会保险补助、住房公积金等纳入劳务费科目列支。</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支付给临时聘请的咨询专家的费用，不得支付给参与本项目及所属课题研究和管理的相关人员，其管理按照国家有关规定执行。</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第十条</w:t>
      </w:r>
      <w:r>
        <w:rPr>
          <w:rFonts w:hint="eastAsia" w:ascii="仿宋_GB2312" w:hAnsi="仿宋_GB2312" w:eastAsia="仿宋_GB2312" w:cs="仿宋_GB2312"/>
          <w:spacing w:val="-2"/>
          <w:sz w:val="32"/>
          <w:szCs w:val="32"/>
          <w:lang w:val="en-US" w:eastAsia="zh-CN"/>
        </w:rPr>
        <w:t xml:space="preserve">  间接费用是指依托单位在组织实施项目过程中发生的无法在直接费用中列支的相关费用。主要包括：依托单位为项目研究提供的房屋占用，日常水、电、气、暖等消耗，有关管理费用的补助支出，以及激励科研人员的绩效支出等。</w:t>
      </w:r>
    </w:p>
    <w:p>
      <w:pPr>
        <w:widowControl/>
        <w:spacing w:afterLines="50" w:line="560" w:lineRule="exact"/>
        <w:ind w:firstLine="572" w:firstLineChars="179"/>
        <w:jc w:val="center"/>
        <w:rPr>
          <w:rFonts w:ascii="黑体" w:hAnsi="Arial" w:eastAsia="黑体" w:cs="Arial"/>
          <w:bCs/>
          <w:color w:val="000000"/>
          <w:kern w:val="0"/>
          <w:sz w:val="32"/>
          <w:szCs w:val="32"/>
        </w:rPr>
      </w:pPr>
    </w:p>
    <w:p>
      <w:pPr>
        <w:widowControl/>
        <w:spacing w:afterLines="50" w:line="560" w:lineRule="exact"/>
        <w:jc w:val="center"/>
        <w:rPr>
          <w:rFonts w:ascii="黑体" w:hAnsi="Arial" w:eastAsia="黑体" w:cs="Arial"/>
          <w:bCs/>
          <w:color w:val="000000"/>
          <w:kern w:val="0"/>
          <w:sz w:val="32"/>
          <w:szCs w:val="32"/>
        </w:rPr>
      </w:pPr>
      <w:r>
        <w:rPr>
          <w:rFonts w:hint="eastAsia" w:ascii="黑体" w:hAnsi="Arial" w:eastAsia="黑体" w:cs="Arial"/>
          <w:bCs/>
          <w:color w:val="000000"/>
          <w:kern w:val="0"/>
          <w:sz w:val="32"/>
          <w:szCs w:val="32"/>
        </w:rPr>
        <w:t>第三章  包干制项目资金</w:t>
      </w:r>
      <w:r>
        <w:rPr>
          <w:rFonts w:hint="eastAsia" w:ascii="黑体" w:hAnsi="Arial" w:eastAsia="黑体" w:cs="Arial"/>
          <w:bCs/>
          <w:color w:val="000000"/>
          <w:kern w:val="0"/>
          <w:sz w:val="32"/>
          <w:szCs w:val="32"/>
          <w:lang w:eastAsia="zh-CN"/>
        </w:rPr>
        <w:t>申请与审批</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第十一条</w:t>
      </w:r>
      <w:r>
        <w:rPr>
          <w:rFonts w:hint="eastAsia" w:ascii="仿宋_GB2312" w:hAnsi="仿宋_GB2312" w:eastAsia="仿宋_GB2312" w:cs="仿宋_GB2312"/>
          <w:spacing w:val="-2"/>
          <w:sz w:val="32"/>
          <w:szCs w:val="32"/>
          <w:lang w:val="en-US" w:eastAsia="zh-CN"/>
        </w:rPr>
        <w:t xml:space="preserve">  包干制项目申请人应当本着科学、合理、规范、有效的原则申请资助额度，无需编制项目预算。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多个单位共同承担一个项目的，由项目申请人汇总申请资助额度。</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第十二条 </w:t>
      </w:r>
      <w:r>
        <w:rPr>
          <w:rFonts w:hint="eastAsia" w:ascii="仿宋_GB2312" w:hAnsi="仿宋_GB2312" w:eastAsia="仿宋_GB2312" w:cs="仿宋_GB2312"/>
          <w:spacing w:val="-2"/>
          <w:sz w:val="32"/>
          <w:szCs w:val="32"/>
          <w:lang w:val="en-US" w:eastAsia="zh-CN"/>
        </w:rPr>
        <w:t xml:space="preserve"> 自然科学基金委组织专家对包干制项目和申请资助额度进行评审,根据专家评审意见并参考同类项目平均资助强度确定项目资助额度。</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第十三条</w:t>
      </w:r>
      <w:r>
        <w:rPr>
          <w:rFonts w:hint="eastAsia" w:ascii="仿宋_GB2312" w:hAnsi="仿宋_GB2312" w:eastAsia="仿宋_GB2312" w:cs="仿宋_GB2312"/>
          <w:spacing w:val="-2"/>
          <w:sz w:val="32"/>
          <w:szCs w:val="32"/>
          <w:lang w:val="en-US" w:eastAsia="zh-CN"/>
        </w:rPr>
        <w:t xml:space="preserve">  包干制项目资金由项目负责人自主决定使用，按照本办法第九条规定的开支范围列支，无需履行调剂程序。</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对于依托单位为项目研究提供的房屋占用，日常水、电、气、暖等消耗，有关管理费用的补助支出，由依托单位根据实际管理需要，在充分征求项目负责人意见基础上合理确定。</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对于激励科研人员的绩效支出，由项目负责人根据实际科研需要和相关薪酬标准自主确定，依托单位按照工资制度进行管理。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第十四条</w:t>
      </w:r>
      <w:r>
        <w:rPr>
          <w:rFonts w:hint="eastAsia" w:ascii="仿宋_GB2312" w:hAnsi="仿宋_GB2312" w:eastAsia="仿宋_GB2312" w:cs="仿宋_GB2312"/>
          <w:spacing w:val="-2"/>
          <w:sz w:val="32"/>
          <w:szCs w:val="32"/>
          <w:lang w:val="en-US" w:eastAsia="zh-CN"/>
        </w:rPr>
        <w:t xml:space="preserve">  项目资金应当纳入依托单位财务统一管理，单独核算，专款专用。</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第十五条</w:t>
      </w:r>
      <w:r>
        <w:rPr>
          <w:rFonts w:hint="eastAsia" w:ascii="仿宋_GB2312" w:hAnsi="仿宋_GB2312" w:eastAsia="仿宋_GB2312" w:cs="仿宋_GB2312"/>
          <w:spacing w:val="-2"/>
          <w:sz w:val="32"/>
          <w:szCs w:val="32"/>
          <w:lang w:val="en-US" w:eastAsia="zh-CN"/>
        </w:rPr>
        <w:t xml:space="preserve">  依托单位应当制定项目经费包干制管理规定，管理规定应当包括经费使用范围和标准、各方责任、违规惩戒措施等内容，报自然科学基金委备案。</w:t>
      </w:r>
    </w:p>
    <w:p>
      <w:pPr>
        <w:widowControl/>
        <w:snapToGrid w:val="0"/>
        <w:spacing w:afterLines="50" w:line="560" w:lineRule="exact"/>
        <w:ind w:left="431"/>
        <w:jc w:val="center"/>
        <w:rPr>
          <w:rFonts w:ascii="黑体" w:hAnsi="Arial" w:eastAsia="黑体" w:cs="Arial"/>
          <w:bCs/>
          <w:color w:val="000000"/>
          <w:kern w:val="0"/>
          <w:sz w:val="32"/>
          <w:szCs w:val="32"/>
        </w:rPr>
      </w:pPr>
    </w:p>
    <w:p>
      <w:pPr>
        <w:widowControl/>
        <w:spacing w:afterLines="50" w:line="560" w:lineRule="exact"/>
        <w:jc w:val="center"/>
        <w:rPr>
          <w:rFonts w:hint="eastAsia" w:ascii="黑体" w:hAnsi="Arial" w:eastAsia="黑体" w:cs="Arial"/>
          <w:bCs/>
          <w:color w:val="000000"/>
          <w:kern w:val="0"/>
          <w:sz w:val="32"/>
          <w:szCs w:val="32"/>
          <w:lang w:eastAsia="zh-CN"/>
        </w:rPr>
      </w:pPr>
      <w:r>
        <w:rPr>
          <w:rFonts w:hint="eastAsia" w:ascii="黑体" w:hAnsi="Arial" w:eastAsia="黑体" w:cs="Arial"/>
          <w:bCs/>
          <w:color w:val="000000"/>
          <w:kern w:val="0"/>
          <w:sz w:val="32"/>
          <w:szCs w:val="32"/>
        </w:rPr>
        <w:t>第四章  预算制项目资金</w:t>
      </w:r>
      <w:r>
        <w:rPr>
          <w:rFonts w:hint="eastAsia" w:ascii="黑体" w:hAnsi="Arial" w:eastAsia="黑体" w:cs="Arial"/>
          <w:bCs/>
          <w:color w:val="000000"/>
          <w:kern w:val="0"/>
          <w:sz w:val="32"/>
          <w:szCs w:val="32"/>
          <w:lang w:eastAsia="zh-CN"/>
        </w:rPr>
        <w:t>申请与审批</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第十六条</w:t>
      </w:r>
      <w:r>
        <w:rPr>
          <w:rFonts w:hint="eastAsia" w:ascii="仿宋_GB2312" w:hAnsi="仿宋_GB2312" w:eastAsia="仿宋_GB2312" w:cs="仿宋_GB2312"/>
          <w:spacing w:val="-2"/>
          <w:sz w:val="32"/>
          <w:szCs w:val="32"/>
          <w:lang w:val="en-US" w:eastAsia="zh-CN"/>
        </w:rPr>
        <w:t xml:space="preserve">  预算制项目负责人（或申请人）应当根据政策相符性、目标相关性和经济合理性原则，编制项目收入预算和支出预算。 </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收入预算应当按照从各种不同渠道获得的资金总额填列。包括自然科学基金资助的资金以及从依托单位和其他渠道获得的资金。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支出预算应当根据项目需求，按照资金开支范围编列。直接费用中除50万元以上的设备费外，其他费用只提供基本测算说明，不需要提供明细。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第十七条</w:t>
      </w:r>
      <w:r>
        <w:rPr>
          <w:rFonts w:hint="eastAsia" w:ascii="仿宋_GB2312" w:hAnsi="仿宋_GB2312" w:eastAsia="仿宋_GB2312" w:cs="仿宋_GB2312"/>
          <w:spacing w:val="-2"/>
          <w:sz w:val="32"/>
          <w:szCs w:val="32"/>
          <w:lang w:val="en-US" w:eastAsia="zh-CN"/>
        </w:rPr>
        <w:t xml:space="preserve">  对于预算制项目，依托单位应当组织其科研和财务管理部门对项目预算进行审核。</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有多个单位共同承担一个项目的，依托单位的项目负责人（或申请人）和合作研究单位参与者应当根据各自承担的研究任务分别编报项目预算，经所在单位科研、财务部门审核并签署意见后，由项目负责人（或申请人）汇总编制。</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第十八条</w:t>
      </w:r>
      <w:r>
        <w:rPr>
          <w:rFonts w:hint="eastAsia" w:ascii="仿宋_GB2312" w:hAnsi="仿宋_GB2312" w:eastAsia="仿宋_GB2312" w:cs="仿宋_GB2312"/>
          <w:spacing w:val="-2"/>
          <w:sz w:val="32"/>
          <w:szCs w:val="32"/>
          <w:lang w:val="en-US" w:eastAsia="zh-CN"/>
        </w:rPr>
        <w:t xml:space="preserve">  预算制项目申请人申请自然科学基金项目，应当按照本办法中对于直接费用的规定编制项目预算，经依托单位审核后提交自然科学基金委。</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第十九条</w:t>
      </w:r>
      <w:r>
        <w:rPr>
          <w:rFonts w:hint="eastAsia" w:ascii="仿宋_GB2312" w:hAnsi="仿宋_GB2312" w:eastAsia="仿宋_GB2312" w:cs="仿宋_GB2312"/>
          <w:spacing w:val="-2"/>
          <w:sz w:val="32"/>
          <w:szCs w:val="32"/>
          <w:lang w:val="en-US" w:eastAsia="zh-CN"/>
        </w:rPr>
        <w:t xml:space="preserve">  自然科学基金委组织专家或者择优遴选第三方对预算制项目进行项目评审并同步开展预算评审,根据项目实际需求确定预算。评审专家应满足相关回避要求。</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预算评审应当按照规范的程序和要求，坚持独立、客观、公正、科学的原则，对项目申报预算的政策相符性、目标相关性和经济合理性进行评审。不得将预算编制细致程度作为评审预算的因素，不得简单按比例核减预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第二十条</w:t>
      </w:r>
      <w:r>
        <w:rPr>
          <w:rFonts w:hint="eastAsia" w:ascii="仿宋_GB2312" w:hAnsi="仿宋_GB2312" w:eastAsia="仿宋_GB2312" w:cs="仿宋_GB2312"/>
          <w:spacing w:val="-2"/>
          <w:sz w:val="32"/>
          <w:szCs w:val="32"/>
          <w:lang w:val="en-US" w:eastAsia="zh-CN"/>
        </w:rPr>
        <w:t xml:space="preserve">  依托单位应当组织预算制项目负责人根据批准的项目资助额度，按规定调整项目预算，并在收到资助通知之日起20日内完成审核，报自然科学基金委核准。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第二十一条</w:t>
      </w:r>
      <w:r>
        <w:rPr>
          <w:rFonts w:hint="eastAsia" w:ascii="仿宋_GB2312" w:hAnsi="仿宋_GB2312" w:eastAsia="仿宋_GB2312" w:cs="仿宋_GB2312"/>
          <w:spacing w:val="-2"/>
          <w:sz w:val="32"/>
          <w:szCs w:val="32"/>
          <w:lang w:val="en-US" w:eastAsia="zh-CN"/>
        </w:rPr>
        <w:t xml:space="preserve">  预算制项目的直接费用应当纳入依托单位财务统一管理，单独核算，专款专用。</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预算制项目的间接费用由依托单位统筹安排使用。依托单位应当建立健全间接费用的内部管理办法，公开透明、合规合理使用间接费用，处理好分摊间接成本和对科研人员激励的关系。绩效支出安排应当与科研人员在项目工作中的实际贡献挂钩。依托单位可将间接费用全部用于绩效支出，并向创新绩效突出的团队和个人倾斜。依托单位不得在间接费用以外，再以任何名义在项目资金中重复提取、列支相关费用。</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第二十二条</w:t>
      </w:r>
      <w:r>
        <w:rPr>
          <w:rFonts w:hint="eastAsia" w:ascii="仿宋_GB2312" w:hAnsi="仿宋_GB2312" w:eastAsia="仿宋_GB2312" w:cs="仿宋_GB2312"/>
          <w:spacing w:val="-2"/>
          <w:sz w:val="32"/>
          <w:szCs w:val="32"/>
          <w:lang w:val="en-US" w:eastAsia="zh-CN"/>
        </w:rPr>
        <w:t xml:space="preserve">  预算制项目的间接费用一般按照不超过项目直接费用扣除设备购置费后的一定比例核定，并实行总额控制，具体比例如下：</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（一）500万元及以下部分为30%；</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（二）超过500万元至1000万元的部分为25%；</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（三）超过1000万元的部分为20%。</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其中，对于数学等纯理论基础研究的预算制项目，间接费用一般按照不超过项目直接费用扣除设备购置费后的一定比例核定，并实行总额控制，具体比例如下：</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（一）500万元及以下部分为60%；</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（二）超过500万元至1000万元的部分为50%；</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（三）超过1000万元的部分为40%。</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第二十三条</w:t>
      </w:r>
      <w:r>
        <w:rPr>
          <w:rFonts w:hint="eastAsia" w:ascii="仿宋_GB2312" w:hAnsi="仿宋_GB2312" w:eastAsia="仿宋_GB2312" w:cs="仿宋_GB2312"/>
          <w:spacing w:val="-2"/>
          <w:sz w:val="32"/>
          <w:szCs w:val="32"/>
          <w:lang w:val="en-US" w:eastAsia="zh-CN"/>
        </w:rPr>
        <w:t xml:space="preserve">  预算制项目实施过程中，项目预算有以下情况确需调剂的，应当按相关程序报自然科学基金委审批。</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（一）由于研究内容或者研究计划作出重大调整等原因需要对预算总额进行调剂的；</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（二）同一项目课题之间资金需要调剂的。</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第二十四条</w:t>
      </w:r>
      <w:r>
        <w:rPr>
          <w:rFonts w:hint="eastAsia" w:ascii="仿宋_GB2312" w:hAnsi="仿宋_GB2312" w:eastAsia="仿宋_GB2312" w:cs="仿宋_GB2312"/>
          <w:spacing w:val="-2"/>
          <w:sz w:val="32"/>
          <w:szCs w:val="32"/>
          <w:lang w:val="en-US" w:eastAsia="zh-CN"/>
        </w:rPr>
        <w:t xml:space="preserve">  预算制项目实施过程中，在项目预算额度不变的情况下，预算确需调剂的，按以下规定予以调剂：</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（一）设备费预算如需调剂，由项目负责人根据科研活动的实际需要提出申请，报依托单位审批。依托单位应当统筹考虑现有设备配置情况、科研项目实际需求等，及时办理调剂手续。</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（二）劳务费、业务费预算如需调剂，由项目负责人根据科研活动实际需要自主安排。</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（三）项目间接费用预算总额不得调增，依托单位与项目负责人协商一致后可调减用于直接费用。</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第二十五条</w:t>
      </w:r>
      <w:r>
        <w:rPr>
          <w:rFonts w:hint="eastAsia" w:ascii="仿宋_GB2312" w:hAnsi="仿宋_GB2312" w:eastAsia="仿宋_GB2312" w:cs="仿宋_GB2312"/>
          <w:spacing w:val="-2"/>
          <w:sz w:val="32"/>
          <w:szCs w:val="32"/>
          <w:lang w:val="en-US" w:eastAsia="zh-CN"/>
        </w:rPr>
        <w:t xml:space="preserve">  对于需开展中期项目检查的预算制项目，可由自然科学基金委组织专家同步对资金的使用进行检查或评估。</w:t>
      </w:r>
    </w:p>
    <w:p>
      <w:pPr>
        <w:widowControl/>
        <w:spacing w:line="560" w:lineRule="exact"/>
        <w:ind w:firstLine="575" w:firstLineChars="179"/>
        <w:rPr>
          <w:rFonts w:ascii="仿宋_GB2312" w:eastAsia="仿宋_GB2312"/>
          <w:b/>
          <w:sz w:val="32"/>
          <w:szCs w:val="32"/>
        </w:rPr>
      </w:pPr>
    </w:p>
    <w:p>
      <w:pPr>
        <w:widowControl/>
        <w:spacing w:afterLines="50" w:line="560" w:lineRule="exact"/>
        <w:jc w:val="center"/>
        <w:rPr>
          <w:rFonts w:ascii="黑体" w:hAnsi="Arial" w:eastAsia="黑体" w:cs="Arial"/>
          <w:bCs/>
          <w:color w:val="000000"/>
          <w:kern w:val="0"/>
          <w:sz w:val="32"/>
          <w:szCs w:val="32"/>
        </w:rPr>
      </w:pPr>
      <w:r>
        <w:rPr>
          <w:rFonts w:hint="eastAsia" w:ascii="黑体" w:hAnsi="Arial" w:eastAsia="黑体" w:cs="Arial"/>
          <w:bCs/>
          <w:color w:val="000000"/>
          <w:kern w:val="0"/>
          <w:sz w:val="32"/>
          <w:szCs w:val="32"/>
        </w:rPr>
        <w:t>第五章  预算执行与决算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第二十六条</w:t>
      </w:r>
      <w:r>
        <w:rPr>
          <w:rFonts w:hint="eastAsia" w:ascii="仿宋_GB2312" w:hAnsi="仿宋_GB2312" w:eastAsia="仿宋_GB2312" w:cs="仿宋_GB2312"/>
          <w:spacing w:val="-2"/>
          <w:sz w:val="32"/>
          <w:szCs w:val="32"/>
          <w:lang w:val="en-US" w:eastAsia="zh-CN"/>
        </w:rPr>
        <w:t xml:space="preserve">  自然科学基金委应当按照国库集中支付制度规定，根据不同类型科研项目特点、研究进度、资金需求等，合理制定经费拨付计划并在资助项目计划书签订后30日内，将经费按计划拨付至依托单位，切实保障科研活动需要。</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有多个单位共同承担一个项目的，依托单位应当及时按资助项目计划书和合同转拨合作研究单位资金，并加强对转拨资金的监督管理。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项目负责人应当结合科研活动需要，科学合理安排项目资金支出进度。依托单位应当关注项目资金执行进度，有效提高资金使用效益。</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第二十七条</w:t>
      </w:r>
      <w:r>
        <w:rPr>
          <w:rFonts w:hint="eastAsia" w:ascii="仿宋_GB2312" w:hAnsi="仿宋_GB2312" w:eastAsia="仿宋_GB2312" w:cs="仿宋_GB2312"/>
          <w:spacing w:val="-2"/>
          <w:sz w:val="32"/>
          <w:szCs w:val="32"/>
          <w:lang w:val="en-US" w:eastAsia="zh-CN"/>
        </w:rPr>
        <w:t xml:space="preserve">  项目资金管理使用不得存在以下行为：</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（一）编报虚假预算；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（二）未对项目资金进行单独核算；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（三）列支与本项目任务无关的支出；</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（四）未按规定执行和调剂预算、违反规定转拨项目资金；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（五）虚假承诺其他来源资金；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（六）通过虚假合同、虚假票据、虚构事项、虚报人员等弄虚作假，转移、套取、报销项目资金；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（七）截留、挤占、挪用项目资金；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（八）设置账外账、随意调账变动支出、随意修改</w:t>
      </w:r>
      <w:r>
        <w:rPr>
          <w:rFonts w:hint="eastAsia" w:ascii="仿宋_GB2312" w:hAnsi="仿宋_GB2312" w:eastAsia="仿宋_GB2312" w:cs="仿宋_GB2312"/>
          <w:spacing w:val="-2"/>
          <w:sz w:val="32"/>
          <w:szCs w:val="32"/>
          <w:lang w:val="en-US" w:eastAsia="zh-CN"/>
        </w:rPr>
        <w:fldChar w:fldCharType="begin"/>
      </w:r>
      <w:r>
        <w:rPr>
          <w:rFonts w:hint="eastAsia" w:ascii="仿宋_GB2312" w:hAnsi="仿宋_GB2312" w:eastAsia="仿宋_GB2312" w:cs="仿宋_GB2312"/>
          <w:spacing w:val="-2"/>
          <w:sz w:val="32"/>
          <w:szCs w:val="32"/>
          <w:lang w:val="en-US" w:eastAsia="zh-CN"/>
        </w:rPr>
        <w:instrText xml:space="preserve"> HYPERLINK "http://cpro.baidu.com/cpro/ui/uijs.php?adclass=0&amp;app_id=0&amp;c=news&amp;cf=1001&amp;ch=0&amp;di=8&amp;fv=20&amp;is_app=0&amp;jk=7f73ba4fae78f5bc&amp;k=%BC%C7%D5%CB&amp;k0=%BC%C7%D5%CB&amp;kdi0=0&amp;luki=2&amp;mcpm=0&amp;n=10&amp;p=baidu&amp;q=baidusiteerror_cpr&amp;rb=0&amp;rs=1&amp;seller_id=1&amp;sid=bcf578ae4fba737f&amp;ssp2=1&amp;stid=9&amp;t=tpclicked3_hc&amp;td=1615258&amp;tu=u1615258&amp;u=http://emuch.net/html/201505/8901825.html&amp;urlid=0" \t "http://emuch.net/html/201505/_blank" </w:instrText>
      </w:r>
      <w:r>
        <w:rPr>
          <w:rFonts w:hint="eastAsia" w:ascii="仿宋_GB2312" w:hAnsi="仿宋_GB2312" w:eastAsia="仿宋_GB2312" w:cs="仿宋_GB2312"/>
          <w:spacing w:val="-2"/>
          <w:sz w:val="32"/>
          <w:szCs w:val="32"/>
          <w:lang w:val="en-US" w:eastAsia="zh-CN"/>
        </w:rPr>
        <w:fldChar w:fldCharType="separate"/>
      </w:r>
      <w:r>
        <w:rPr>
          <w:rFonts w:hint="eastAsia" w:ascii="仿宋_GB2312" w:hAnsi="仿宋_GB2312" w:eastAsia="仿宋_GB2312" w:cs="仿宋_GB2312"/>
          <w:spacing w:val="-2"/>
          <w:sz w:val="32"/>
          <w:szCs w:val="32"/>
          <w:lang w:val="en-US" w:eastAsia="zh-CN"/>
        </w:rPr>
        <w:t>记账</w:t>
      </w:r>
      <w:r>
        <w:rPr>
          <w:rFonts w:hint="eastAsia" w:ascii="仿宋_GB2312" w:hAnsi="仿宋_GB2312" w:eastAsia="仿宋_GB2312" w:cs="仿宋_GB2312"/>
          <w:spacing w:val="-2"/>
          <w:sz w:val="32"/>
          <w:szCs w:val="32"/>
          <w:lang w:val="en-US" w:eastAsia="zh-CN"/>
        </w:rPr>
        <w:fldChar w:fldCharType="end"/>
      </w:r>
      <w:r>
        <w:rPr>
          <w:rFonts w:hint="eastAsia" w:ascii="仿宋_GB2312" w:hAnsi="仿宋_GB2312" w:eastAsia="仿宋_GB2312" w:cs="仿宋_GB2312"/>
          <w:spacing w:val="-2"/>
          <w:sz w:val="32"/>
          <w:szCs w:val="32"/>
          <w:lang w:val="en-US" w:eastAsia="zh-CN"/>
        </w:rPr>
        <w:t>凭证、提供虚假财务会计资料等；</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（九）使用项目资金列支应当由个人负担的有关费用和支付各种罚款、捐款、赞助、投资、偿还债务等；</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（十）其他违反国家财经纪律的行为。</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第二十八条</w:t>
      </w:r>
      <w:r>
        <w:rPr>
          <w:rFonts w:hint="eastAsia" w:ascii="仿宋_GB2312" w:hAnsi="仿宋_GB2312" w:eastAsia="仿宋_GB2312" w:cs="仿宋_GB2312"/>
          <w:spacing w:val="-2"/>
          <w:sz w:val="32"/>
          <w:szCs w:val="32"/>
          <w:lang w:val="en-US" w:eastAsia="zh-CN"/>
        </w:rPr>
        <w:t xml:space="preserve">  项目资助期满后，项目负责人应当会同科研、财务、资产等管理部门及时清理账目与资产，如实编制项目决算。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有多个单位共同承担一个项目的，依托单位的项目负责人和合作研究单位的参与者应当分别编报项目决算，经所在单位科研、财务管理部门审核并签署意见后，由依托单位项目负责人汇总编制。</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依托单位应当组织其科研、财务管理部门审核项目决算，并签署意见后报自然科学基金委。</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第二十九条</w:t>
      </w:r>
      <w:r>
        <w:rPr>
          <w:rFonts w:hint="eastAsia" w:ascii="仿宋_GB2312" w:hAnsi="仿宋_GB2312" w:eastAsia="仿宋_GB2312" w:cs="仿宋_GB2312"/>
          <w:spacing w:val="-2"/>
          <w:sz w:val="32"/>
          <w:szCs w:val="32"/>
          <w:lang w:val="en-US" w:eastAsia="zh-CN"/>
        </w:rPr>
        <w:t xml:space="preserve">  自然科学基金委准予结题的项目，结余资金留归依托单位使用。依托单位应当将结余资金统筹安排用于基础研究直接支出，优先考虑原项目团队科研需求，并加强结余资金管理，健全结余资金盘活机制，加快资金使用进度。</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自然科学基金委不予结题的项目，依托单位应当负责将结余资金在通知书下达后30日内按原渠道退回自然科学基金委。</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第三十条</w:t>
      </w:r>
      <w:r>
        <w:rPr>
          <w:rFonts w:hint="eastAsia" w:ascii="仿宋_GB2312" w:hAnsi="仿宋_GB2312" w:eastAsia="仿宋_GB2312" w:cs="仿宋_GB2312"/>
          <w:spacing w:val="-2"/>
          <w:sz w:val="32"/>
          <w:szCs w:val="32"/>
          <w:lang w:val="en-US" w:eastAsia="zh-CN"/>
        </w:rPr>
        <w:t xml:space="preserve">  项目实施过程中，因故终止执行的项目，依托单位应当负责将结余资金按原渠道退回自然科学基金委。</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因故被依法撤销的项目，依托单位应当负责将已拨付的资金全部按原渠道退回自然科学基金委。</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依托单位发生变更的项目，原依托单位应当及时向新依托单位转拨需转拨的项目资金。</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第三十一条</w:t>
      </w:r>
      <w:r>
        <w:rPr>
          <w:rFonts w:hint="eastAsia" w:ascii="仿宋_GB2312" w:hAnsi="仿宋_GB2312" w:eastAsia="仿宋_GB2312" w:cs="仿宋_GB2312"/>
          <w:spacing w:val="-2"/>
          <w:sz w:val="32"/>
          <w:szCs w:val="32"/>
          <w:lang w:val="en-US" w:eastAsia="zh-CN"/>
        </w:rPr>
        <w:t xml:space="preserve">  依托单位应当严格执行国家有关支出管理制度。对应当实行“公务卡”结算的支出，按照中央财政科研项目使用公务卡结算的有关规定执行。对于设备、大宗材料、测试化验加工、劳务、专家咨询等费用，原则上应当通过银行转账方式结算。</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第三十二条</w:t>
      </w:r>
      <w:r>
        <w:rPr>
          <w:rFonts w:hint="eastAsia" w:ascii="仿宋_GB2312" w:hAnsi="仿宋_GB2312" w:eastAsia="仿宋_GB2312" w:cs="仿宋_GB2312"/>
          <w:spacing w:val="-2"/>
          <w:sz w:val="32"/>
          <w:szCs w:val="32"/>
          <w:lang w:val="en-US" w:eastAsia="zh-CN"/>
        </w:rPr>
        <w:t xml:space="preserve">  在项目实施过程中，依托单位因科研活动实际需要，邀请国内外专家、学者和有关人员参加由其主办的会议等，对确需负担的城市间交通费、国际旅费，可在会议费等费用中报销。对国内差旅费中的伙食补助费、市内交通费和难以取得发票的住宿费可实行包干制。对野外考察、心理测试等科研活动中无法取得发票或者财政性票据的，在确保真实性的前提下，可按实际发生额予以报销。</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第三十三条</w:t>
      </w:r>
      <w:r>
        <w:rPr>
          <w:rFonts w:hint="eastAsia" w:ascii="仿宋_GB2312" w:hAnsi="仿宋_GB2312" w:eastAsia="仿宋_GB2312" w:cs="仿宋_GB2312"/>
          <w:spacing w:val="-2"/>
          <w:sz w:val="32"/>
          <w:szCs w:val="32"/>
          <w:lang w:val="en-US" w:eastAsia="zh-CN"/>
        </w:rPr>
        <w:t xml:space="preserve">  依托单位应当优化和完善内部管理规定，简化科研仪器设备采购流程。对科研急需的设备和耗材采用特事特办、随到随办的采购机制，可以不进行招标投标程序。</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项目实施过程中，行政事业单位使用项目资金形成的固定资产属于国有资产，应当按照国家有关国有资产管理的规定执行。企业使用项目资金形成的固定资产，按照《企业财务通则》等相关规章制度执行。项目资金形成的知识产权等无形资产的管理，按照国家有关规定执行。使用项目资金形成的大型科学仪器设备、科学数据、自然科技资源等，按照规定开放共享。</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第三十四条</w:t>
      </w:r>
      <w:r>
        <w:rPr>
          <w:rFonts w:hint="eastAsia" w:ascii="仿宋_GB2312" w:hAnsi="仿宋_GB2312" w:eastAsia="仿宋_GB2312" w:cs="仿宋_GB2312"/>
          <w:spacing w:val="-2"/>
          <w:sz w:val="32"/>
          <w:szCs w:val="32"/>
          <w:lang w:val="en-US" w:eastAsia="zh-CN"/>
        </w:rPr>
        <w:t xml:space="preserve">  依托单位要切实强化法人责任，制定内部管理办法，落实项目预算调剂、间接费用统筹使用、劳务费管理、结余资金使用等管理权限。</w:t>
      </w:r>
    </w:p>
    <w:p>
      <w:pPr>
        <w:pStyle w:val="3"/>
        <w:autoSpaceDE w:val="0"/>
        <w:autoSpaceDN w:val="0"/>
        <w:adjustRightInd w:val="0"/>
        <w:snapToGrid w:val="0"/>
        <w:spacing w:line="588" w:lineRule="atLeast"/>
        <w:rPr>
          <w:rFonts w:ascii="仿宋_GB2312" w:eastAsia="仿宋_GB2312"/>
          <w:sz w:val="32"/>
          <w:szCs w:val="32"/>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第三十五条</w:t>
      </w:r>
      <w:r>
        <w:rPr>
          <w:rFonts w:hint="eastAsia" w:ascii="仿宋_GB2312" w:hAnsi="仿宋_GB2312" w:eastAsia="仿宋_GB2312" w:cs="仿宋_GB2312"/>
          <w:spacing w:val="-2"/>
          <w:sz w:val="32"/>
          <w:szCs w:val="32"/>
          <w:lang w:val="en-US" w:eastAsia="zh-CN"/>
        </w:rPr>
        <w:t xml:space="preserve">  依托单位应当创新服务方式，让科研人员潜心从事科学研究。应当全面落实科研财务助理制度，确保每个项目配有相对固定的科研财务助理，为科研人员在预算编制、经费报销等方面提供专业化服务。科研财务助理所需人力成本费用（含社会保险补助、住房公积金），可由依托单位根据情况通过科研项目经费等渠道统筹解决。应当改进财务报销管理方式，充分利用信息化手段，建立符合科研实际需要的内部报销机制。</w:t>
      </w:r>
    </w:p>
    <w:p>
      <w:pPr>
        <w:widowControl/>
        <w:spacing w:line="560" w:lineRule="exact"/>
        <w:ind w:firstLine="572" w:firstLineChars="179"/>
        <w:rPr>
          <w:rFonts w:ascii="仿宋_GB2312" w:eastAsia="仿宋_GB2312"/>
          <w:sz w:val="32"/>
          <w:szCs w:val="32"/>
        </w:rPr>
      </w:pPr>
    </w:p>
    <w:p>
      <w:pPr>
        <w:widowControl/>
        <w:spacing w:afterLines="50" w:line="560" w:lineRule="exact"/>
        <w:jc w:val="center"/>
        <w:rPr>
          <w:rFonts w:hint="eastAsia" w:ascii="仿宋_GB2312" w:hAnsi="Arial" w:eastAsia="仿宋_GB2312" w:cs="Arial"/>
          <w:b/>
          <w:bCs/>
          <w:color w:val="000000"/>
          <w:sz w:val="32"/>
          <w:szCs w:val="32"/>
        </w:rPr>
      </w:pPr>
      <w:r>
        <w:rPr>
          <w:rFonts w:hint="eastAsia" w:ascii="黑体" w:hAnsi="Arial" w:eastAsia="黑体" w:cs="Arial"/>
          <w:color w:val="000000"/>
          <w:kern w:val="0"/>
          <w:sz w:val="32"/>
          <w:szCs w:val="32"/>
        </w:rPr>
        <w:t>第六章  绩效管理</w:t>
      </w:r>
      <w:r>
        <w:rPr>
          <w:rFonts w:hint="eastAsia" w:ascii="黑体" w:hAnsi="Arial" w:eastAsia="黑体" w:cs="Arial"/>
          <w:color w:val="000000"/>
          <w:kern w:val="0"/>
          <w:sz w:val="32"/>
          <w:szCs w:val="32"/>
          <w:lang w:eastAsia="zh-CN"/>
        </w:rPr>
        <w:t>与</w:t>
      </w:r>
      <w:r>
        <w:rPr>
          <w:rFonts w:hint="eastAsia" w:ascii="黑体" w:hAnsi="Arial" w:eastAsia="黑体" w:cs="Arial"/>
          <w:color w:val="000000"/>
          <w:kern w:val="0"/>
          <w:sz w:val="32"/>
          <w:szCs w:val="32"/>
        </w:rPr>
        <w:t>监督检查</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第三十六条</w:t>
      </w:r>
      <w:r>
        <w:rPr>
          <w:rFonts w:hint="eastAsia" w:ascii="仿宋_GB2312" w:hAnsi="仿宋_GB2312" w:eastAsia="仿宋_GB2312" w:cs="仿宋_GB2312"/>
          <w:spacing w:val="-2"/>
          <w:sz w:val="32"/>
          <w:szCs w:val="32"/>
          <w:lang w:val="en-US" w:eastAsia="zh-CN"/>
        </w:rPr>
        <w:t xml:space="preserve">  自然科学基金委应当建立项目资金绩效管理制度，对项目资金管理使用效益进行绩效评价。进一步强化绩效导向，加强分类绩效评价，对自由探索型、任务导向型等不同类型科研项目，健全差异化的绩效评价指标体系，强化绩效评价结果运用，将绩效评价结果作为项目调整、后续支持的重要依据。</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依托单位应当切实加强绩效管理，引导科研资源向优秀人才和团队倾斜，提高科研经费使用效益。</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第三十七条  </w:t>
      </w:r>
      <w:r>
        <w:rPr>
          <w:rFonts w:hint="eastAsia" w:ascii="仿宋_GB2312" w:hAnsi="仿宋_GB2312" w:eastAsia="仿宋_GB2312" w:cs="仿宋_GB2312"/>
          <w:spacing w:val="-2"/>
          <w:sz w:val="32"/>
          <w:szCs w:val="32"/>
          <w:lang w:val="en-US" w:eastAsia="zh-CN"/>
        </w:rPr>
        <w:t>财政部、自然科学基金委、审计署、相关主管部门、依托单位应当根据职责和分工，建立覆盖资金管理使用全过程的资金监督机制。加强审计监督、财会监督与日常监督的贯通协调，增强监督合力，加强信息共享，避免交叉重复。</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第三十八条</w:t>
      </w:r>
      <w:r>
        <w:rPr>
          <w:rFonts w:hint="eastAsia" w:ascii="仿宋_GB2312" w:hAnsi="仿宋_GB2312" w:eastAsia="仿宋_GB2312" w:cs="仿宋_GB2312"/>
          <w:spacing w:val="-2"/>
          <w:sz w:val="32"/>
          <w:szCs w:val="32"/>
          <w:lang w:val="en-US" w:eastAsia="zh-CN"/>
        </w:rPr>
        <w:t xml:space="preserve">  财政部按规定对自然科学基金项目资金管理和使用情况进行监督管理。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第三十九条</w:t>
      </w:r>
      <w:r>
        <w:rPr>
          <w:rFonts w:hint="eastAsia" w:ascii="仿宋_GB2312" w:hAnsi="仿宋_GB2312" w:eastAsia="仿宋_GB2312" w:cs="仿宋_GB2312"/>
          <w:spacing w:val="-2"/>
          <w:sz w:val="32"/>
          <w:szCs w:val="32"/>
          <w:lang w:val="en-US" w:eastAsia="zh-CN"/>
        </w:rPr>
        <w:t xml:space="preserve">  审计署、自然科学基金委按规定对依托单位项目资金管理和使用情况进行监督检查。依托单位和项目负责人应当积极配合并提供有关资料。</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第四十条</w:t>
      </w:r>
      <w:r>
        <w:rPr>
          <w:rFonts w:hint="eastAsia" w:ascii="仿宋_GB2312" w:hAnsi="仿宋_GB2312" w:eastAsia="仿宋_GB2312" w:cs="仿宋_GB2312"/>
          <w:spacing w:val="-2"/>
          <w:sz w:val="32"/>
          <w:szCs w:val="32"/>
          <w:lang w:val="en-US" w:eastAsia="zh-CN"/>
        </w:rPr>
        <w:t xml:space="preserve">  相关主管部门应当督促所属依托单位加强内控制度和监督制约机制建设、落实项目资金管理责任，配合财政部、自然科学基金委开展监督检查和整改工作。</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第四十一条</w:t>
      </w:r>
      <w:r>
        <w:rPr>
          <w:rFonts w:hint="eastAsia" w:ascii="仿宋_GB2312" w:hAnsi="仿宋_GB2312" w:eastAsia="仿宋_GB2312" w:cs="仿宋_GB2312"/>
          <w:spacing w:val="-2"/>
          <w:sz w:val="32"/>
          <w:szCs w:val="32"/>
          <w:lang w:val="en-US" w:eastAsia="zh-CN"/>
        </w:rPr>
        <w:t xml:space="preserve">  依托单位应当按照本办法和国家相关财经法规及财务管理规定，完善内部控制和监督制约机制，动态监管资金使用并实时预警提醒，确保资金合理规范使用；加强支撑服务条件建设，提高对科研人员的服务水平，建立常态化的自查自纠机制，保证项目资金安全。</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第四十二条</w:t>
      </w:r>
      <w:r>
        <w:rPr>
          <w:rFonts w:hint="eastAsia" w:ascii="仿宋_GB2312" w:hAnsi="仿宋_GB2312" w:eastAsia="仿宋_GB2312" w:cs="仿宋_GB2312"/>
          <w:spacing w:val="-2"/>
          <w:sz w:val="32"/>
          <w:szCs w:val="32"/>
          <w:lang w:val="en-US" w:eastAsia="zh-CN"/>
        </w:rPr>
        <w:t xml:space="preserve">  项目资金管理建立承诺机制。依托单位应当承诺依法履行项目资金管理的职责。项目负责人应当承诺提供真实的项目信息，并认真遵守项目资金管理的有关规定。依托单位和项目负责人对违反承诺导致的后果承担相应责任。</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bookmarkStart w:id="0" w:name="_GoBack"/>
      <w:bookmarkEnd w:id="0"/>
      <w:r>
        <w:rPr>
          <w:rFonts w:hint="eastAsia" w:ascii="仿宋_GB2312" w:hAnsi="仿宋_GB2312" w:eastAsia="仿宋_GB2312" w:cs="仿宋_GB2312"/>
          <w:spacing w:val="-2"/>
          <w:sz w:val="32"/>
          <w:szCs w:val="32"/>
          <w:lang w:val="en-US" w:eastAsia="zh-CN"/>
        </w:rPr>
        <w:t>对依托单位和科研人员在项目资金管理使用过程中出现的失信情况，应当纳入信用记录管理，对严重失信行为实行追责和惩戒。</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第四十三条</w:t>
      </w:r>
      <w:r>
        <w:rPr>
          <w:rFonts w:hint="eastAsia" w:ascii="仿宋_GB2312" w:hAnsi="仿宋_GB2312" w:eastAsia="仿宋_GB2312" w:cs="仿宋_GB2312"/>
          <w:spacing w:val="-2"/>
          <w:sz w:val="32"/>
          <w:szCs w:val="32"/>
          <w:lang w:val="en-US" w:eastAsia="zh-CN"/>
        </w:rPr>
        <w:t xml:space="preserve">  项目资金管理建立信息公开机制。自然科学基金委应当及时公开非涉密项目预算安排情况，接受社会监督。</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依托单位应当在单位内部公开非涉密项目立项、主要研究人员、资金使用（重点是间接费用、外拨资金、结余资金使用等）、决算、大型仪器设备购置以及项目研究成果等情况，接受内部监督。</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第四十四条</w:t>
      </w:r>
      <w:r>
        <w:rPr>
          <w:rFonts w:hint="eastAsia" w:ascii="仿宋_GB2312" w:hAnsi="仿宋_GB2312" w:eastAsia="仿宋_GB2312" w:cs="仿宋_GB2312"/>
          <w:spacing w:val="-2"/>
          <w:sz w:val="32"/>
          <w:szCs w:val="32"/>
          <w:lang w:val="en-US" w:eastAsia="zh-CN"/>
        </w:rPr>
        <w:t xml:space="preserve">  任何单位和个人发现项目资金在使用和管理过程中有违规行为的，有权检举或者控告。</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第四十五条</w:t>
      </w:r>
      <w:r>
        <w:rPr>
          <w:rFonts w:hint="eastAsia" w:ascii="仿宋_GB2312" w:hAnsi="仿宋_GB2312" w:eastAsia="仿宋_GB2312" w:cs="仿宋_GB2312"/>
          <w:spacing w:val="-2"/>
          <w:sz w:val="32"/>
          <w:szCs w:val="32"/>
          <w:lang w:val="en-US" w:eastAsia="zh-CN"/>
        </w:rPr>
        <w:t xml:space="preserve">  财政部、自然科学基金委及其相关工作人员、评审专家在自然科学基金预算审核环节，自然科学基金委及其相关工作人员在项目立项及其资金分配等环节，存在违反规定安排资金或其他滥用职权、玩忽职守、徇私舞弊等违法违规行为的，依法责令改正，对负有责任的领导人员和直接责任人员依法给予处分；涉嫌犯罪的，依法移送有关机关处理。</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第四十六条</w:t>
      </w:r>
      <w:r>
        <w:rPr>
          <w:rFonts w:hint="eastAsia" w:ascii="仿宋_GB2312" w:hAnsi="仿宋_GB2312" w:eastAsia="仿宋_GB2312" w:cs="仿宋_GB2312"/>
          <w:spacing w:val="-2"/>
          <w:sz w:val="32"/>
          <w:szCs w:val="32"/>
          <w:lang w:val="en-US" w:eastAsia="zh-CN"/>
        </w:rPr>
        <w:t xml:space="preserve">  依托单位及其相关工作人员、项目负责人及其团队成员对于资金管理使用过程中，不按规定管理和使用项目资金、不按时编报项目决算、不按规定进行会计核算，存在截留、挪用、侵占项目资金等违法违规行为的，按照《中华人民共和国预算法》及其实施条例、《中华人民共和国会计法》、《国家自然科学基金条例》、《财政违法行为处罚处分条例》等国家有关规定追究相应责任。涉嫌犯罪的，依法移送有关机关处理。</w:t>
      </w:r>
    </w:p>
    <w:p>
      <w:pPr>
        <w:pStyle w:val="3"/>
        <w:autoSpaceDE w:val="0"/>
        <w:autoSpaceDN w:val="0"/>
        <w:adjustRightInd w:val="0"/>
        <w:snapToGrid w:val="0"/>
        <w:spacing w:line="588" w:lineRule="atLeast"/>
        <w:rPr>
          <w:rFonts w:hint="default" w:ascii="仿宋_GB2312" w:hAnsi="仿宋_GB2312" w:eastAsia="仿宋_GB2312" w:cs="仿宋_GB2312"/>
          <w:spacing w:val="-2"/>
          <w:sz w:val="32"/>
          <w:szCs w:val="32"/>
          <w:lang w:val="e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第四十七条 </w:t>
      </w:r>
      <w:r>
        <w:rPr>
          <w:rFonts w:hint="eastAsia" w:ascii="仿宋_GB2312" w:hAnsi="仿宋_GB2312" w:eastAsia="仿宋_GB2312" w:cs="仿宋_GB2312"/>
          <w:spacing w:val="-2"/>
          <w:sz w:val="32"/>
          <w:szCs w:val="32"/>
          <w:lang w:val="en-US" w:eastAsia="zh-CN"/>
        </w:rPr>
        <w:t xml:space="preserve"> 自然科学基金委对项目资金管理、监督和检查等过程中发现的问题以及收到的投诉举报依法开展调查，并依法严肃查处违规违纪行为。</w:t>
      </w:r>
    </w:p>
    <w:p>
      <w:pPr>
        <w:widowControl/>
        <w:spacing w:line="560" w:lineRule="exact"/>
        <w:ind w:firstLine="572" w:firstLineChars="179"/>
        <w:rPr>
          <w:rFonts w:ascii="仿宋_GB2312" w:hAnsi="Arial" w:eastAsia="仿宋_GB2312" w:cs="Arial"/>
          <w:color w:val="000000"/>
          <w:kern w:val="0"/>
          <w:sz w:val="32"/>
          <w:szCs w:val="32"/>
          <w:highlight w:val="yellow"/>
        </w:rPr>
      </w:pPr>
    </w:p>
    <w:p>
      <w:pPr>
        <w:pStyle w:val="13"/>
        <w:spacing w:before="0" w:beforeAutospacing="0" w:afterLines="50" w:afterAutospacing="0" w:line="560" w:lineRule="exact"/>
        <w:jc w:val="center"/>
        <w:rPr>
          <w:rFonts w:ascii="黑体" w:hAnsi="Arial" w:eastAsia="黑体" w:cs="Arial"/>
          <w:color w:val="000000"/>
          <w:sz w:val="32"/>
          <w:szCs w:val="32"/>
        </w:rPr>
      </w:pPr>
      <w:r>
        <w:rPr>
          <w:rFonts w:hint="eastAsia" w:ascii="黑体" w:hAnsi="Arial" w:eastAsia="黑体" w:cs="Arial"/>
          <w:color w:val="000000"/>
          <w:sz w:val="32"/>
          <w:szCs w:val="32"/>
        </w:rPr>
        <w:t>第七章  附 则</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第四十八条</w:t>
      </w:r>
      <w:r>
        <w:rPr>
          <w:rFonts w:hint="eastAsia" w:ascii="仿宋_GB2312" w:hAnsi="仿宋_GB2312" w:eastAsia="仿宋_GB2312" w:cs="仿宋_GB2312"/>
          <w:spacing w:val="-2"/>
          <w:sz w:val="32"/>
          <w:szCs w:val="32"/>
          <w:lang w:val="en-US" w:eastAsia="zh-CN"/>
        </w:rPr>
        <w:t xml:space="preserve">  本办法由财政部、自然科学基金委负责解释。</w:t>
      </w:r>
    </w:p>
    <w:p>
      <w:pPr>
        <w:pStyle w:val="3"/>
        <w:autoSpaceDE w:val="0"/>
        <w:autoSpaceDN w:val="0"/>
        <w:adjustRightInd w:val="0"/>
        <w:snapToGrid w:val="0"/>
        <w:spacing w:line="588" w:lineRule="atLeast"/>
        <w:rPr>
          <w:rFonts w:hint="eastAsia" w:ascii="仿宋_GB2312" w:hAnsi="仿宋_GB2312" w:eastAsia="仿宋_GB2312" w:cs="仿宋_GB2312"/>
          <w:spacing w:val="-2"/>
          <w:sz w:val="32"/>
          <w:szCs w:val="32"/>
          <w:lang w:val="en-US" w:eastAsia="zh-CN"/>
        </w:rPr>
      </w:pPr>
      <w:r>
        <w:rPr>
          <w:rFonts w:hint="eastAsia" w:ascii="仿宋_GB2312" w:hAnsi="仿宋_GB2312" w:eastAsia="仿宋_GB2312" w:cs="仿宋_GB2312"/>
          <w:spacing w:val="-2"/>
          <w:sz w:val="32"/>
          <w:szCs w:val="32"/>
          <w:lang w:val="en-US" w:eastAsia="zh-CN"/>
        </w:rPr>
        <w:t xml:space="preserve">   </w:t>
      </w:r>
      <w:r>
        <w:rPr>
          <w:rFonts w:hint="eastAsia" w:ascii="黑体" w:hAnsi="黑体" w:eastAsia="黑体" w:cs="黑体"/>
          <w:spacing w:val="-2"/>
          <w:sz w:val="32"/>
          <w:szCs w:val="32"/>
          <w:lang w:val="en-US" w:eastAsia="zh-CN"/>
        </w:rPr>
        <w:t xml:space="preserve"> 第四十九条</w:t>
      </w:r>
      <w:r>
        <w:rPr>
          <w:rFonts w:hint="eastAsia" w:ascii="仿宋_GB2312" w:hAnsi="仿宋_GB2312" w:eastAsia="仿宋_GB2312" w:cs="仿宋_GB2312"/>
          <w:spacing w:val="-2"/>
          <w:sz w:val="32"/>
          <w:szCs w:val="32"/>
          <w:lang w:val="en-US" w:eastAsia="zh-CN"/>
        </w:rPr>
        <w:t xml:space="preserve">  本办法自发布之日起施行。</w:t>
      </w:r>
    </w:p>
    <w:sectPr>
      <w:footerReference r:id="rId5" w:type="first"/>
      <w:footerReference r:id="rId3" w:type="default"/>
      <w:footerReference r:id="rId4" w:type="even"/>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 w:name="DejaVu Sans">
    <w:panose1 w:val="020B0603030804020204"/>
    <w:charset w:val="00"/>
    <w:family w:val="auto"/>
    <w:pitch w:val="default"/>
    <w:sig w:usb0="E7006EFF" w:usb1="D200FDFF" w:usb2="0A246029" w:usb3="0400200C" w:csb0="600001FF" w:csb1="DFFF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1020479"/>
    </w:sdtPr>
    <w:sdtContent>
      <w:p>
        <w:pPr>
          <w:pStyle w:val="5"/>
          <w:jc w:val="center"/>
        </w:pPr>
        <w:r>
          <w:fldChar w:fldCharType="begin"/>
        </w:r>
        <w:r>
          <w:instrText xml:space="preserve"> PAGE   \* MERGEFORMAT </w:instrText>
        </w:r>
        <w:r>
          <w:fldChar w:fldCharType="separate"/>
        </w:r>
        <w:r>
          <w:rPr>
            <w:lang w:val="zh-CN"/>
          </w:rPr>
          <w:t>12</w:t>
        </w:r>
        <w:r>
          <w:rPr>
            <w:lang w:val="zh-CN"/>
          </w:rPr>
          <w:fldChar w:fldCharType="end"/>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2"/>
      </w:rPr>
    </w:pPr>
    <w:r>
      <w:fldChar w:fldCharType="begin"/>
    </w:r>
    <w:r>
      <w:rPr>
        <w:rStyle w:val="12"/>
      </w:rPr>
      <w:instrText xml:space="preserve">PAGE  </w:instrText>
    </w:r>
    <w:r>
      <w:fldChar w:fldCharType="separate"/>
    </w:r>
    <w:r>
      <w:rPr>
        <w:rStyle w:val="12"/>
      </w:rPr>
      <w:t>1</w:t>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1020480"/>
    </w:sdtPr>
    <w:sdtContent>
      <w:p>
        <w:pPr>
          <w:pStyle w:val="5"/>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true"/>
  <w:bordersDoNotSurroundHeader w:val="true"/>
  <w:bordersDoNotSurroundFooter w:val="true"/>
  <w:documentProtection w:enforcement="0"/>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975"/>
    <w:rsid w:val="00003809"/>
    <w:rsid w:val="00005248"/>
    <w:rsid w:val="000059D7"/>
    <w:rsid w:val="00005C24"/>
    <w:rsid w:val="0000646A"/>
    <w:rsid w:val="000067D5"/>
    <w:rsid w:val="0001036E"/>
    <w:rsid w:val="00014340"/>
    <w:rsid w:val="00014351"/>
    <w:rsid w:val="00015456"/>
    <w:rsid w:val="0002192B"/>
    <w:rsid w:val="00021986"/>
    <w:rsid w:val="000220A5"/>
    <w:rsid w:val="00022BD1"/>
    <w:rsid w:val="00035D4C"/>
    <w:rsid w:val="00036F1F"/>
    <w:rsid w:val="00043822"/>
    <w:rsid w:val="0004532F"/>
    <w:rsid w:val="000472E6"/>
    <w:rsid w:val="00054145"/>
    <w:rsid w:val="0005583C"/>
    <w:rsid w:val="00060620"/>
    <w:rsid w:val="00066763"/>
    <w:rsid w:val="0007332D"/>
    <w:rsid w:val="00074014"/>
    <w:rsid w:val="00074117"/>
    <w:rsid w:val="00075FE5"/>
    <w:rsid w:val="00076FEB"/>
    <w:rsid w:val="00084AC8"/>
    <w:rsid w:val="000856A4"/>
    <w:rsid w:val="00090B5E"/>
    <w:rsid w:val="000912C5"/>
    <w:rsid w:val="00092293"/>
    <w:rsid w:val="00093BF9"/>
    <w:rsid w:val="00097F6C"/>
    <w:rsid w:val="000A64D8"/>
    <w:rsid w:val="000A7243"/>
    <w:rsid w:val="000B5F61"/>
    <w:rsid w:val="000B7B85"/>
    <w:rsid w:val="000C3990"/>
    <w:rsid w:val="000C673C"/>
    <w:rsid w:val="000D2EAE"/>
    <w:rsid w:val="000D5D42"/>
    <w:rsid w:val="000D5D57"/>
    <w:rsid w:val="000D5FB0"/>
    <w:rsid w:val="000E2A45"/>
    <w:rsid w:val="000E406F"/>
    <w:rsid w:val="000E53AB"/>
    <w:rsid w:val="000F5859"/>
    <w:rsid w:val="000F6124"/>
    <w:rsid w:val="000F70FA"/>
    <w:rsid w:val="001104DF"/>
    <w:rsid w:val="00110AAA"/>
    <w:rsid w:val="00113B8A"/>
    <w:rsid w:val="00114476"/>
    <w:rsid w:val="00123A86"/>
    <w:rsid w:val="00133A96"/>
    <w:rsid w:val="00136F72"/>
    <w:rsid w:val="0014342E"/>
    <w:rsid w:val="00151A2D"/>
    <w:rsid w:val="00152130"/>
    <w:rsid w:val="001607CD"/>
    <w:rsid w:val="00165653"/>
    <w:rsid w:val="00166723"/>
    <w:rsid w:val="0017288A"/>
    <w:rsid w:val="00172A27"/>
    <w:rsid w:val="00174D1F"/>
    <w:rsid w:val="001751FA"/>
    <w:rsid w:val="00175D55"/>
    <w:rsid w:val="001809C2"/>
    <w:rsid w:val="001825E8"/>
    <w:rsid w:val="00183FD3"/>
    <w:rsid w:val="00193385"/>
    <w:rsid w:val="001934F1"/>
    <w:rsid w:val="00194993"/>
    <w:rsid w:val="001A578E"/>
    <w:rsid w:val="001B098E"/>
    <w:rsid w:val="001B0BAC"/>
    <w:rsid w:val="001C08AD"/>
    <w:rsid w:val="001C22FB"/>
    <w:rsid w:val="001C3288"/>
    <w:rsid w:val="001C4A4C"/>
    <w:rsid w:val="001D35CA"/>
    <w:rsid w:val="001D35DA"/>
    <w:rsid w:val="001D3B2E"/>
    <w:rsid w:val="001D4AD2"/>
    <w:rsid w:val="001D5B4D"/>
    <w:rsid w:val="001D7F90"/>
    <w:rsid w:val="001E0702"/>
    <w:rsid w:val="001E1F41"/>
    <w:rsid w:val="001E21B9"/>
    <w:rsid w:val="001E5B15"/>
    <w:rsid w:val="001E5E7D"/>
    <w:rsid w:val="001F0127"/>
    <w:rsid w:val="001F1CD3"/>
    <w:rsid w:val="001F37AA"/>
    <w:rsid w:val="001F3E3E"/>
    <w:rsid w:val="001F4259"/>
    <w:rsid w:val="001F5540"/>
    <w:rsid w:val="00200579"/>
    <w:rsid w:val="002025CF"/>
    <w:rsid w:val="00205596"/>
    <w:rsid w:val="00210115"/>
    <w:rsid w:val="00211004"/>
    <w:rsid w:val="00221B75"/>
    <w:rsid w:val="002234B2"/>
    <w:rsid w:val="002237C1"/>
    <w:rsid w:val="00224F59"/>
    <w:rsid w:val="00226971"/>
    <w:rsid w:val="00233D9E"/>
    <w:rsid w:val="00237BC1"/>
    <w:rsid w:val="002428FD"/>
    <w:rsid w:val="002433C1"/>
    <w:rsid w:val="00243462"/>
    <w:rsid w:val="00244CB1"/>
    <w:rsid w:val="00245CA4"/>
    <w:rsid w:val="00246624"/>
    <w:rsid w:val="00257F48"/>
    <w:rsid w:val="00263AEF"/>
    <w:rsid w:val="00271417"/>
    <w:rsid w:val="002741C4"/>
    <w:rsid w:val="00277A8D"/>
    <w:rsid w:val="00280F91"/>
    <w:rsid w:val="002811D8"/>
    <w:rsid w:val="0028164F"/>
    <w:rsid w:val="00281DBB"/>
    <w:rsid w:val="00284CA2"/>
    <w:rsid w:val="00290251"/>
    <w:rsid w:val="0029163C"/>
    <w:rsid w:val="00294F5D"/>
    <w:rsid w:val="002952C3"/>
    <w:rsid w:val="0029641D"/>
    <w:rsid w:val="002A5D3B"/>
    <w:rsid w:val="002A6816"/>
    <w:rsid w:val="002A6DBD"/>
    <w:rsid w:val="002A767A"/>
    <w:rsid w:val="002C05E0"/>
    <w:rsid w:val="002D079C"/>
    <w:rsid w:val="002D0A4B"/>
    <w:rsid w:val="002D2F3C"/>
    <w:rsid w:val="002D498F"/>
    <w:rsid w:val="002D5416"/>
    <w:rsid w:val="002E24D2"/>
    <w:rsid w:val="002E62B8"/>
    <w:rsid w:val="002F21CB"/>
    <w:rsid w:val="002F3584"/>
    <w:rsid w:val="002F468E"/>
    <w:rsid w:val="002F63E6"/>
    <w:rsid w:val="00303299"/>
    <w:rsid w:val="00311E27"/>
    <w:rsid w:val="00312047"/>
    <w:rsid w:val="00313701"/>
    <w:rsid w:val="00314B5B"/>
    <w:rsid w:val="00316B93"/>
    <w:rsid w:val="0032242F"/>
    <w:rsid w:val="0032293D"/>
    <w:rsid w:val="00322C36"/>
    <w:rsid w:val="00324A42"/>
    <w:rsid w:val="00335311"/>
    <w:rsid w:val="00335DE4"/>
    <w:rsid w:val="003370C6"/>
    <w:rsid w:val="0033765B"/>
    <w:rsid w:val="003417DD"/>
    <w:rsid w:val="00343522"/>
    <w:rsid w:val="00355A08"/>
    <w:rsid w:val="00360D05"/>
    <w:rsid w:val="0036157F"/>
    <w:rsid w:val="0037435B"/>
    <w:rsid w:val="003752FE"/>
    <w:rsid w:val="003810CC"/>
    <w:rsid w:val="00386A50"/>
    <w:rsid w:val="00387C1A"/>
    <w:rsid w:val="003947AD"/>
    <w:rsid w:val="0039565B"/>
    <w:rsid w:val="003A0878"/>
    <w:rsid w:val="003A1EBA"/>
    <w:rsid w:val="003A301F"/>
    <w:rsid w:val="003A35A6"/>
    <w:rsid w:val="003A5318"/>
    <w:rsid w:val="003A7EF4"/>
    <w:rsid w:val="003B062C"/>
    <w:rsid w:val="003B1579"/>
    <w:rsid w:val="003B25C7"/>
    <w:rsid w:val="003C022D"/>
    <w:rsid w:val="003C4683"/>
    <w:rsid w:val="003D0D50"/>
    <w:rsid w:val="003D3315"/>
    <w:rsid w:val="003E547F"/>
    <w:rsid w:val="003E675E"/>
    <w:rsid w:val="003F1758"/>
    <w:rsid w:val="003F2198"/>
    <w:rsid w:val="003F2F1B"/>
    <w:rsid w:val="003F314C"/>
    <w:rsid w:val="003F4FBC"/>
    <w:rsid w:val="00401534"/>
    <w:rsid w:val="00402DF7"/>
    <w:rsid w:val="00403076"/>
    <w:rsid w:val="00403B32"/>
    <w:rsid w:val="004044BB"/>
    <w:rsid w:val="00406D79"/>
    <w:rsid w:val="004133DC"/>
    <w:rsid w:val="004153FE"/>
    <w:rsid w:val="00422065"/>
    <w:rsid w:val="0042530A"/>
    <w:rsid w:val="00437285"/>
    <w:rsid w:val="0043731C"/>
    <w:rsid w:val="00441C02"/>
    <w:rsid w:val="004447D0"/>
    <w:rsid w:val="00444C18"/>
    <w:rsid w:val="00447E44"/>
    <w:rsid w:val="0045065C"/>
    <w:rsid w:val="0045612C"/>
    <w:rsid w:val="00456BF1"/>
    <w:rsid w:val="00457237"/>
    <w:rsid w:val="0045724B"/>
    <w:rsid w:val="00463792"/>
    <w:rsid w:val="0046450B"/>
    <w:rsid w:val="0046786F"/>
    <w:rsid w:val="00470900"/>
    <w:rsid w:val="0047188B"/>
    <w:rsid w:val="004726B2"/>
    <w:rsid w:val="00475179"/>
    <w:rsid w:val="004800E0"/>
    <w:rsid w:val="00481FFA"/>
    <w:rsid w:val="004838E0"/>
    <w:rsid w:val="004865B8"/>
    <w:rsid w:val="004A3F1F"/>
    <w:rsid w:val="004B343F"/>
    <w:rsid w:val="004B46F5"/>
    <w:rsid w:val="004C3418"/>
    <w:rsid w:val="004C595B"/>
    <w:rsid w:val="004D1E9D"/>
    <w:rsid w:val="004D22A8"/>
    <w:rsid w:val="004D3607"/>
    <w:rsid w:val="004E4671"/>
    <w:rsid w:val="004F1E69"/>
    <w:rsid w:val="004F3261"/>
    <w:rsid w:val="004F5047"/>
    <w:rsid w:val="004F5D0C"/>
    <w:rsid w:val="00502F91"/>
    <w:rsid w:val="00503E8E"/>
    <w:rsid w:val="00506C1E"/>
    <w:rsid w:val="00507958"/>
    <w:rsid w:val="00515414"/>
    <w:rsid w:val="00516BD6"/>
    <w:rsid w:val="00520013"/>
    <w:rsid w:val="00531F52"/>
    <w:rsid w:val="005342E5"/>
    <w:rsid w:val="005369F5"/>
    <w:rsid w:val="005411FB"/>
    <w:rsid w:val="0054325E"/>
    <w:rsid w:val="00553CC1"/>
    <w:rsid w:val="00556806"/>
    <w:rsid w:val="00557E59"/>
    <w:rsid w:val="00567BF9"/>
    <w:rsid w:val="0057048C"/>
    <w:rsid w:val="0057422D"/>
    <w:rsid w:val="00575FA0"/>
    <w:rsid w:val="0057668A"/>
    <w:rsid w:val="00582A8A"/>
    <w:rsid w:val="00591292"/>
    <w:rsid w:val="00593303"/>
    <w:rsid w:val="00593C54"/>
    <w:rsid w:val="005A3E5A"/>
    <w:rsid w:val="005A4A5C"/>
    <w:rsid w:val="005A588B"/>
    <w:rsid w:val="005A6D94"/>
    <w:rsid w:val="005B559A"/>
    <w:rsid w:val="005B7073"/>
    <w:rsid w:val="005B7EA4"/>
    <w:rsid w:val="005C4AF4"/>
    <w:rsid w:val="005C522F"/>
    <w:rsid w:val="005C761C"/>
    <w:rsid w:val="005C7C91"/>
    <w:rsid w:val="005D330C"/>
    <w:rsid w:val="005D3687"/>
    <w:rsid w:val="005D4290"/>
    <w:rsid w:val="005D5E69"/>
    <w:rsid w:val="005D6394"/>
    <w:rsid w:val="005E169B"/>
    <w:rsid w:val="005E579B"/>
    <w:rsid w:val="005E5FFA"/>
    <w:rsid w:val="005F22BD"/>
    <w:rsid w:val="005F2839"/>
    <w:rsid w:val="005F449C"/>
    <w:rsid w:val="00601B43"/>
    <w:rsid w:val="00603701"/>
    <w:rsid w:val="00607A96"/>
    <w:rsid w:val="006113F7"/>
    <w:rsid w:val="00617F65"/>
    <w:rsid w:val="0062294F"/>
    <w:rsid w:val="00625D8D"/>
    <w:rsid w:val="006332A4"/>
    <w:rsid w:val="00634B89"/>
    <w:rsid w:val="00636FD7"/>
    <w:rsid w:val="00641E99"/>
    <w:rsid w:val="006468C2"/>
    <w:rsid w:val="00652A37"/>
    <w:rsid w:val="0065631E"/>
    <w:rsid w:val="006639B4"/>
    <w:rsid w:val="0067003B"/>
    <w:rsid w:val="0067219B"/>
    <w:rsid w:val="00675CB5"/>
    <w:rsid w:val="00675FF2"/>
    <w:rsid w:val="0067642F"/>
    <w:rsid w:val="00684D54"/>
    <w:rsid w:val="00685A1C"/>
    <w:rsid w:val="00693A2A"/>
    <w:rsid w:val="00695456"/>
    <w:rsid w:val="0069672E"/>
    <w:rsid w:val="006A0259"/>
    <w:rsid w:val="006A2493"/>
    <w:rsid w:val="006A24CC"/>
    <w:rsid w:val="006A2CE0"/>
    <w:rsid w:val="006B1AAE"/>
    <w:rsid w:val="006C60C9"/>
    <w:rsid w:val="006D07BC"/>
    <w:rsid w:val="006D741F"/>
    <w:rsid w:val="006E43DF"/>
    <w:rsid w:val="006E5786"/>
    <w:rsid w:val="006E6D74"/>
    <w:rsid w:val="006E7FFD"/>
    <w:rsid w:val="006F2873"/>
    <w:rsid w:val="007010A5"/>
    <w:rsid w:val="00706E2F"/>
    <w:rsid w:val="00711AEE"/>
    <w:rsid w:val="0071411C"/>
    <w:rsid w:val="00714A0A"/>
    <w:rsid w:val="00721F49"/>
    <w:rsid w:val="00727414"/>
    <w:rsid w:val="007332E2"/>
    <w:rsid w:val="00735AC6"/>
    <w:rsid w:val="007408CE"/>
    <w:rsid w:val="007412AA"/>
    <w:rsid w:val="007412F9"/>
    <w:rsid w:val="007445B3"/>
    <w:rsid w:val="0076088B"/>
    <w:rsid w:val="00763248"/>
    <w:rsid w:val="00765250"/>
    <w:rsid w:val="0076584F"/>
    <w:rsid w:val="0077197F"/>
    <w:rsid w:val="00772B98"/>
    <w:rsid w:val="00774CDC"/>
    <w:rsid w:val="00777483"/>
    <w:rsid w:val="00780F55"/>
    <w:rsid w:val="00781F06"/>
    <w:rsid w:val="00782387"/>
    <w:rsid w:val="00784050"/>
    <w:rsid w:val="0078497F"/>
    <w:rsid w:val="00792A99"/>
    <w:rsid w:val="007954EA"/>
    <w:rsid w:val="00796B2B"/>
    <w:rsid w:val="007A529E"/>
    <w:rsid w:val="007A78DB"/>
    <w:rsid w:val="007B2548"/>
    <w:rsid w:val="007B3498"/>
    <w:rsid w:val="007B559A"/>
    <w:rsid w:val="007B6356"/>
    <w:rsid w:val="007C0E8F"/>
    <w:rsid w:val="007C3A2D"/>
    <w:rsid w:val="007C3DDC"/>
    <w:rsid w:val="007C5F88"/>
    <w:rsid w:val="007D0AA7"/>
    <w:rsid w:val="007D55EF"/>
    <w:rsid w:val="007E1F04"/>
    <w:rsid w:val="007E319E"/>
    <w:rsid w:val="007E5287"/>
    <w:rsid w:val="007F25DA"/>
    <w:rsid w:val="007F5B7F"/>
    <w:rsid w:val="00800B2D"/>
    <w:rsid w:val="00801589"/>
    <w:rsid w:val="0080259E"/>
    <w:rsid w:val="00803E94"/>
    <w:rsid w:val="00812EB7"/>
    <w:rsid w:val="00812F79"/>
    <w:rsid w:val="00813753"/>
    <w:rsid w:val="0081589C"/>
    <w:rsid w:val="00816942"/>
    <w:rsid w:val="00816C8D"/>
    <w:rsid w:val="008176E9"/>
    <w:rsid w:val="00820E2E"/>
    <w:rsid w:val="008230B7"/>
    <w:rsid w:val="008262B7"/>
    <w:rsid w:val="00827355"/>
    <w:rsid w:val="00827488"/>
    <w:rsid w:val="008333E0"/>
    <w:rsid w:val="00834234"/>
    <w:rsid w:val="0083529A"/>
    <w:rsid w:val="00835A1F"/>
    <w:rsid w:val="00837E19"/>
    <w:rsid w:val="0084097B"/>
    <w:rsid w:val="008467EA"/>
    <w:rsid w:val="00853693"/>
    <w:rsid w:val="00854006"/>
    <w:rsid w:val="0085474F"/>
    <w:rsid w:val="00855B34"/>
    <w:rsid w:val="00857F33"/>
    <w:rsid w:val="008618CB"/>
    <w:rsid w:val="00862C9D"/>
    <w:rsid w:val="00863BAF"/>
    <w:rsid w:val="0087017B"/>
    <w:rsid w:val="00870DC8"/>
    <w:rsid w:val="008741E7"/>
    <w:rsid w:val="008745D2"/>
    <w:rsid w:val="00881C09"/>
    <w:rsid w:val="008851CB"/>
    <w:rsid w:val="00897367"/>
    <w:rsid w:val="00897BD8"/>
    <w:rsid w:val="008B1849"/>
    <w:rsid w:val="008C1BE7"/>
    <w:rsid w:val="008C2EF0"/>
    <w:rsid w:val="008D0A53"/>
    <w:rsid w:val="008D12FC"/>
    <w:rsid w:val="008D41D6"/>
    <w:rsid w:val="008E0EF5"/>
    <w:rsid w:val="008F09B6"/>
    <w:rsid w:val="008F2EF3"/>
    <w:rsid w:val="008F3A26"/>
    <w:rsid w:val="008F71EA"/>
    <w:rsid w:val="00902242"/>
    <w:rsid w:val="00904B54"/>
    <w:rsid w:val="00913ACA"/>
    <w:rsid w:val="00921DEE"/>
    <w:rsid w:val="009256CC"/>
    <w:rsid w:val="00927236"/>
    <w:rsid w:val="00930698"/>
    <w:rsid w:val="009325A3"/>
    <w:rsid w:val="009342F3"/>
    <w:rsid w:val="00934B39"/>
    <w:rsid w:val="00936C7B"/>
    <w:rsid w:val="00942D19"/>
    <w:rsid w:val="00944166"/>
    <w:rsid w:val="00945AA0"/>
    <w:rsid w:val="00947FAA"/>
    <w:rsid w:val="00952E74"/>
    <w:rsid w:val="00957187"/>
    <w:rsid w:val="009606FE"/>
    <w:rsid w:val="00961CB2"/>
    <w:rsid w:val="00962045"/>
    <w:rsid w:val="00963A01"/>
    <w:rsid w:val="009649F8"/>
    <w:rsid w:val="009651CE"/>
    <w:rsid w:val="00970AAB"/>
    <w:rsid w:val="009725DE"/>
    <w:rsid w:val="00986214"/>
    <w:rsid w:val="0098633D"/>
    <w:rsid w:val="00994E79"/>
    <w:rsid w:val="00996A34"/>
    <w:rsid w:val="0099754C"/>
    <w:rsid w:val="00997DCE"/>
    <w:rsid w:val="009A1B67"/>
    <w:rsid w:val="009A1BDC"/>
    <w:rsid w:val="009A21D7"/>
    <w:rsid w:val="009A580D"/>
    <w:rsid w:val="009B0FC5"/>
    <w:rsid w:val="009B1186"/>
    <w:rsid w:val="009B245E"/>
    <w:rsid w:val="009C59F3"/>
    <w:rsid w:val="009C5B5F"/>
    <w:rsid w:val="009C7CE4"/>
    <w:rsid w:val="009D05B9"/>
    <w:rsid w:val="009D237B"/>
    <w:rsid w:val="009D37C1"/>
    <w:rsid w:val="009E0994"/>
    <w:rsid w:val="009E1CB6"/>
    <w:rsid w:val="009E2506"/>
    <w:rsid w:val="009E42C7"/>
    <w:rsid w:val="009E52B3"/>
    <w:rsid w:val="009E58FE"/>
    <w:rsid w:val="009E6D82"/>
    <w:rsid w:val="009F1FA1"/>
    <w:rsid w:val="009F39EF"/>
    <w:rsid w:val="00A0074E"/>
    <w:rsid w:val="00A022CF"/>
    <w:rsid w:val="00A031FC"/>
    <w:rsid w:val="00A0380E"/>
    <w:rsid w:val="00A0432B"/>
    <w:rsid w:val="00A05F20"/>
    <w:rsid w:val="00A2098B"/>
    <w:rsid w:val="00A20A33"/>
    <w:rsid w:val="00A228A4"/>
    <w:rsid w:val="00A24B97"/>
    <w:rsid w:val="00A277DF"/>
    <w:rsid w:val="00A315D2"/>
    <w:rsid w:val="00A32A1A"/>
    <w:rsid w:val="00A36ECF"/>
    <w:rsid w:val="00A4127C"/>
    <w:rsid w:val="00A451E4"/>
    <w:rsid w:val="00A52EF3"/>
    <w:rsid w:val="00A66688"/>
    <w:rsid w:val="00A67444"/>
    <w:rsid w:val="00A7087A"/>
    <w:rsid w:val="00A7445E"/>
    <w:rsid w:val="00A74D06"/>
    <w:rsid w:val="00A76F26"/>
    <w:rsid w:val="00A77309"/>
    <w:rsid w:val="00A77759"/>
    <w:rsid w:val="00A802A3"/>
    <w:rsid w:val="00A8163C"/>
    <w:rsid w:val="00A81B89"/>
    <w:rsid w:val="00A82EE8"/>
    <w:rsid w:val="00A83168"/>
    <w:rsid w:val="00A83F46"/>
    <w:rsid w:val="00A859C2"/>
    <w:rsid w:val="00A87DBF"/>
    <w:rsid w:val="00A91698"/>
    <w:rsid w:val="00A91C99"/>
    <w:rsid w:val="00AA4F81"/>
    <w:rsid w:val="00AA52EB"/>
    <w:rsid w:val="00AA65FC"/>
    <w:rsid w:val="00AB3E32"/>
    <w:rsid w:val="00AB7496"/>
    <w:rsid w:val="00AC2047"/>
    <w:rsid w:val="00AC2A26"/>
    <w:rsid w:val="00AC39A2"/>
    <w:rsid w:val="00AC58FD"/>
    <w:rsid w:val="00AD0AC9"/>
    <w:rsid w:val="00AD6627"/>
    <w:rsid w:val="00AD7356"/>
    <w:rsid w:val="00AD75DA"/>
    <w:rsid w:val="00AD7C01"/>
    <w:rsid w:val="00AE43B7"/>
    <w:rsid w:val="00AF1E40"/>
    <w:rsid w:val="00AF2A50"/>
    <w:rsid w:val="00AF79D6"/>
    <w:rsid w:val="00B01F66"/>
    <w:rsid w:val="00B03D1C"/>
    <w:rsid w:val="00B079CC"/>
    <w:rsid w:val="00B11379"/>
    <w:rsid w:val="00B115F9"/>
    <w:rsid w:val="00B14A73"/>
    <w:rsid w:val="00B14E3F"/>
    <w:rsid w:val="00B170F8"/>
    <w:rsid w:val="00B2685C"/>
    <w:rsid w:val="00B3016B"/>
    <w:rsid w:val="00B31636"/>
    <w:rsid w:val="00B415B0"/>
    <w:rsid w:val="00B445D5"/>
    <w:rsid w:val="00B52125"/>
    <w:rsid w:val="00B545AE"/>
    <w:rsid w:val="00B5515E"/>
    <w:rsid w:val="00B5556C"/>
    <w:rsid w:val="00B6599E"/>
    <w:rsid w:val="00B8121C"/>
    <w:rsid w:val="00B907BD"/>
    <w:rsid w:val="00B9120F"/>
    <w:rsid w:val="00B927A5"/>
    <w:rsid w:val="00B96D40"/>
    <w:rsid w:val="00BA274E"/>
    <w:rsid w:val="00BA5870"/>
    <w:rsid w:val="00BA6391"/>
    <w:rsid w:val="00BA662B"/>
    <w:rsid w:val="00BB4053"/>
    <w:rsid w:val="00BB4372"/>
    <w:rsid w:val="00BB6596"/>
    <w:rsid w:val="00BC0EF6"/>
    <w:rsid w:val="00BC1D2C"/>
    <w:rsid w:val="00BC2265"/>
    <w:rsid w:val="00BC2853"/>
    <w:rsid w:val="00BC33FF"/>
    <w:rsid w:val="00BC4218"/>
    <w:rsid w:val="00BE3231"/>
    <w:rsid w:val="00BE44C2"/>
    <w:rsid w:val="00BF22FD"/>
    <w:rsid w:val="00BF70F4"/>
    <w:rsid w:val="00BF7E3C"/>
    <w:rsid w:val="00C021BB"/>
    <w:rsid w:val="00C041C3"/>
    <w:rsid w:val="00C249CA"/>
    <w:rsid w:val="00C321CC"/>
    <w:rsid w:val="00C344A5"/>
    <w:rsid w:val="00C34772"/>
    <w:rsid w:val="00C34A53"/>
    <w:rsid w:val="00C400DD"/>
    <w:rsid w:val="00C41F5C"/>
    <w:rsid w:val="00C47576"/>
    <w:rsid w:val="00C556B7"/>
    <w:rsid w:val="00C61770"/>
    <w:rsid w:val="00C731A8"/>
    <w:rsid w:val="00C75A11"/>
    <w:rsid w:val="00C771CE"/>
    <w:rsid w:val="00C8142C"/>
    <w:rsid w:val="00C9334E"/>
    <w:rsid w:val="00C97948"/>
    <w:rsid w:val="00CA568F"/>
    <w:rsid w:val="00CA69F6"/>
    <w:rsid w:val="00CA71C1"/>
    <w:rsid w:val="00CB002F"/>
    <w:rsid w:val="00CB0506"/>
    <w:rsid w:val="00CB0CB1"/>
    <w:rsid w:val="00CB2063"/>
    <w:rsid w:val="00CB25BE"/>
    <w:rsid w:val="00CC1E16"/>
    <w:rsid w:val="00CC23E4"/>
    <w:rsid w:val="00CC2495"/>
    <w:rsid w:val="00CC53BA"/>
    <w:rsid w:val="00CD09EE"/>
    <w:rsid w:val="00CD7731"/>
    <w:rsid w:val="00CE2BCE"/>
    <w:rsid w:val="00CE2DFC"/>
    <w:rsid w:val="00CE505A"/>
    <w:rsid w:val="00CE5BB8"/>
    <w:rsid w:val="00CE6F6A"/>
    <w:rsid w:val="00CF04C0"/>
    <w:rsid w:val="00CF1BCC"/>
    <w:rsid w:val="00D03A62"/>
    <w:rsid w:val="00D044F0"/>
    <w:rsid w:val="00D079A7"/>
    <w:rsid w:val="00D10B35"/>
    <w:rsid w:val="00D11585"/>
    <w:rsid w:val="00D11B7D"/>
    <w:rsid w:val="00D1463F"/>
    <w:rsid w:val="00D15749"/>
    <w:rsid w:val="00D234FF"/>
    <w:rsid w:val="00D27255"/>
    <w:rsid w:val="00D30E30"/>
    <w:rsid w:val="00D3150E"/>
    <w:rsid w:val="00D32746"/>
    <w:rsid w:val="00D32B87"/>
    <w:rsid w:val="00D33330"/>
    <w:rsid w:val="00D358DD"/>
    <w:rsid w:val="00D4068A"/>
    <w:rsid w:val="00D44588"/>
    <w:rsid w:val="00D460BF"/>
    <w:rsid w:val="00D52B78"/>
    <w:rsid w:val="00D53F72"/>
    <w:rsid w:val="00D61BCF"/>
    <w:rsid w:val="00D641FB"/>
    <w:rsid w:val="00D646EF"/>
    <w:rsid w:val="00D67D69"/>
    <w:rsid w:val="00D774A1"/>
    <w:rsid w:val="00D779A4"/>
    <w:rsid w:val="00D80F3B"/>
    <w:rsid w:val="00D95530"/>
    <w:rsid w:val="00D9624B"/>
    <w:rsid w:val="00D96FC1"/>
    <w:rsid w:val="00DA377C"/>
    <w:rsid w:val="00DA7186"/>
    <w:rsid w:val="00DA7D95"/>
    <w:rsid w:val="00DB0474"/>
    <w:rsid w:val="00DC4818"/>
    <w:rsid w:val="00DD1C3A"/>
    <w:rsid w:val="00DD53AE"/>
    <w:rsid w:val="00DE2B67"/>
    <w:rsid w:val="00DE2EA8"/>
    <w:rsid w:val="00DE3320"/>
    <w:rsid w:val="00DE39C9"/>
    <w:rsid w:val="00DE7109"/>
    <w:rsid w:val="00DF0EB7"/>
    <w:rsid w:val="00DF2E6F"/>
    <w:rsid w:val="00DF6992"/>
    <w:rsid w:val="00DF7E88"/>
    <w:rsid w:val="00E054D9"/>
    <w:rsid w:val="00E07E63"/>
    <w:rsid w:val="00E132C6"/>
    <w:rsid w:val="00E14E25"/>
    <w:rsid w:val="00E21ADD"/>
    <w:rsid w:val="00E22ECE"/>
    <w:rsid w:val="00E25CEE"/>
    <w:rsid w:val="00E356B3"/>
    <w:rsid w:val="00E3737E"/>
    <w:rsid w:val="00E37FC3"/>
    <w:rsid w:val="00E405A9"/>
    <w:rsid w:val="00E4196C"/>
    <w:rsid w:val="00E467FE"/>
    <w:rsid w:val="00E560A1"/>
    <w:rsid w:val="00E57750"/>
    <w:rsid w:val="00E65B5A"/>
    <w:rsid w:val="00E66162"/>
    <w:rsid w:val="00E728B5"/>
    <w:rsid w:val="00E72AC9"/>
    <w:rsid w:val="00E75D4B"/>
    <w:rsid w:val="00E85D02"/>
    <w:rsid w:val="00EA4DB5"/>
    <w:rsid w:val="00EA7674"/>
    <w:rsid w:val="00EB2C42"/>
    <w:rsid w:val="00EB36B1"/>
    <w:rsid w:val="00EB43FA"/>
    <w:rsid w:val="00EB71F2"/>
    <w:rsid w:val="00EC7C30"/>
    <w:rsid w:val="00ED181D"/>
    <w:rsid w:val="00EE787C"/>
    <w:rsid w:val="00EF22BC"/>
    <w:rsid w:val="00EF287A"/>
    <w:rsid w:val="00EF6E8C"/>
    <w:rsid w:val="00F022DC"/>
    <w:rsid w:val="00F05151"/>
    <w:rsid w:val="00F052A2"/>
    <w:rsid w:val="00F06C2F"/>
    <w:rsid w:val="00F129D7"/>
    <w:rsid w:val="00F14D54"/>
    <w:rsid w:val="00F341DA"/>
    <w:rsid w:val="00F34F1B"/>
    <w:rsid w:val="00F407C5"/>
    <w:rsid w:val="00F42FDD"/>
    <w:rsid w:val="00F4425B"/>
    <w:rsid w:val="00F45B67"/>
    <w:rsid w:val="00F47273"/>
    <w:rsid w:val="00F50405"/>
    <w:rsid w:val="00F549D2"/>
    <w:rsid w:val="00F674CA"/>
    <w:rsid w:val="00F67672"/>
    <w:rsid w:val="00F868FE"/>
    <w:rsid w:val="00F86C74"/>
    <w:rsid w:val="00F90952"/>
    <w:rsid w:val="00F97976"/>
    <w:rsid w:val="00FA5F11"/>
    <w:rsid w:val="00FA78AE"/>
    <w:rsid w:val="00FB44E1"/>
    <w:rsid w:val="00FB6746"/>
    <w:rsid w:val="00FC038A"/>
    <w:rsid w:val="00FC0C83"/>
    <w:rsid w:val="00FC2E86"/>
    <w:rsid w:val="00FD0DD9"/>
    <w:rsid w:val="00FD1045"/>
    <w:rsid w:val="00FD216D"/>
    <w:rsid w:val="00FD64FE"/>
    <w:rsid w:val="00FE0D99"/>
    <w:rsid w:val="00FE766D"/>
    <w:rsid w:val="00FF13A5"/>
    <w:rsid w:val="00FF5A8D"/>
    <w:rsid w:val="0D564513"/>
    <w:rsid w:val="10C82ACF"/>
    <w:rsid w:val="1236537F"/>
    <w:rsid w:val="123A14F2"/>
    <w:rsid w:val="136C48DE"/>
    <w:rsid w:val="13846421"/>
    <w:rsid w:val="14040D1B"/>
    <w:rsid w:val="1BE41235"/>
    <w:rsid w:val="1BFE24B9"/>
    <w:rsid w:val="1DA72BDC"/>
    <w:rsid w:val="249E20DA"/>
    <w:rsid w:val="27D37F8D"/>
    <w:rsid w:val="27FD406A"/>
    <w:rsid w:val="2A964648"/>
    <w:rsid w:val="2D1D005F"/>
    <w:rsid w:val="2DC7649F"/>
    <w:rsid w:val="365B6875"/>
    <w:rsid w:val="36ED408B"/>
    <w:rsid w:val="39E2283C"/>
    <w:rsid w:val="3A132460"/>
    <w:rsid w:val="3C577C28"/>
    <w:rsid w:val="3EA61E6C"/>
    <w:rsid w:val="3F1BCB25"/>
    <w:rsid w:val="3F599F0E"/>
    <w:rsid w:val="3F77D5D2"/>
    <w:rsid w:val="3F803B09"/>
    <w:rsid w:val="3FD92C69"/>
    <w:rsid w:val="3FDFB89B"/>
    <w:rsid w:val="3FDFE23C"/>
    <w:rsid w:val="3FFF1D75"/>
    <w:rsid w:val="3FFF7AA1"/>
    <w:rsid w:val="44E643BD"/>
    <w:rsid w:val="44FF854F"/>
    <w:rsid w:val="4F3BEFBB"/>
    <w:rsid w:val="51F669CD"/>
    <w:rsid w:val="53197976"/>
    <w:rsid w:val="547E1405"/>
    <w:rsid w:val="54FB3808"/>
    <w:rsid w:val="56FF2437"/>
    <w:rsid w:val="5749401A"/>
    <w:rsid w:val="57FF8AC1"/>
    <w:rsid w:val="5BFAB57B"/>
    <w:rsid w:val="5DBCF3F8"/>
    <w:rsid w:val="5F5B2707"/>
    <w:rsid w:val="5F703239"/>
    <w:rsid w:val="5FFBE41B"/>
    <w:rsid w:val="600E53AA"/>
    <w:rsid w:val="60101760"/>
    <w:rsid w:val="638F3A00"/>
    <w:rsid w:val="64352B9A"/>
    <w:rsid w:val="65AF16F4"/>
    <w:rsid w:val="67B677E9"/>
    <w:rsid w:val="67FE4A84"/>
    <w:rsid w:val="68D41E1C"/>
    <w:rsid w:val="6A4F4521"/>
    <w:rsid w:val="6EC536E6"/>
    <w:rsid w:val="6F3F0C47"/>
    <w:rsid w:val="6FBF88A8"/>
    <w:rsid w:val="6FEAAC17"/>
    <w:rsid w:val="6FFF59EA"/>
    <w:rsid w:val="6FFFC1CE"/>
    <w:rsid w:val="6FFFF50A"/>
    <w:rsid w:val="715B17E8"/>
    <w:rsid w:val="73DE168D"/>
    <w:rsid w:val="75E0165E"/>
    <w:rsid w:val="75F24768"/>
    <w:rsid w:val="763924C2"/>
    <w:rsid w:val="76D7C399"/>
    <w:rsid w:val="76EFE279"/>
    <w:rsid w:val="79E461BB"/>
    <w:rsid w:val="7B6B6259"/>
    <w:rsid w:val="7B9AA7DA"/>
    <w:rsid w:val="7BBEE8C0"/>
    <w:rsid w:val="7BEE1046"/>
    <w:rsid w:val="7BFD2FCC"/>
    <w:rsid w:val="7BFF0BAC"/>
    <w:rsid w:val="7CF3CC18"/>
    <w:rsid w:val="7DFD6123"/>
    <w:rsid w:val="7E5AD044"/>
    <w:rsid w:val="7E5DC344"/>
    <w:rsid w:val="7EBE7D47"/>
    <w:rsid w:val="7EEB3C5F"/>
    <w:rsid w:val="7EF766C1"/>
    <w:rsid w:val="7EFF39C5"/>
    <w:rsid w:val="7F0FD3CF"/>
    <w:rsid w:val="7F6BE2FE"/>
    <w:rsid w:val="7F7724E3"/>
    <w:rsid w:val="7F7DF3A7"/>
    <w:rsid w:val="7FBFC2DF"/>
    <w:rsid w:val="7FEF1295"/>
    <w:rsid w:val="7FFB1A12"/>
    <w:rsid w:val="7FFB70AE"/>
    <w:rsid w:val="8FEB82AC"/>
    <w:rsid w:val="9F7F3221"/>
    <w:rsid w:val="A973A39E"/>
    <w:rsid w:val="AFFF157A"/>
    <w:rsid w:val="B35B9AF8"/>
    <w:rsid w:val="B6FD857B"/>
    <w:rsid w:val="BB7FC632"/>
    <w:rsid w:val="BD33D627"/>
    <w:rsid w:val="BDECC2F3"/>
    <w:rsid w:val="BEE6B701"/>
    <w:rsid w:val="BF7CE6A0"/>
    <w:rsid w:val="BFEB5384"/>
    <w:rsid w:val="BFEF53F0"/>
    <w:rsid w:val="D1BB98EA"/>
    <w:rsid w:val="D37C5CCD"/>
    <w:rsid w:val="D5EB7C15"/>
    <w:rsid w:val="D6DB4F77"/>
    <w:rsid w:val="D9CFFF6C"/>
    <w:rsid w:val="DC792ED7"/>
    <w:rsid w:val="DF6F644F"/>
    <w:rsid w:val="DFEA533B"/>
    <w:rsid w:val="E57E25E6"/>
    <w:rsid w:val="E9FF83B0"/>
    <w:rsid w:val="EDBD9CC0"/>
    <w:rsid w:val="EE7CCC2C"/>
    <w:rsid w:val="EED74ACB"/>
    <w:rsid w:val="EF576A35"/>
    <w:rsid w:val="EF8FC11B"/>
    <w:rsid w:val="EFBD2D8E"/>
    <w:rsid w:val="EFEE4C53"/>
    <w:rsid w:val="F36F8912"/>
    <w:rsid w:val="F3DF02F5"/>
    <w:rsid w:val="F5DF787E"/>
    <w:rsid w:val="F666EF84"/>
    <w:rsid w:val="F6BB7DA0"/>
    <w:rsid w:val="F7658BD9"/>
    <w:rsid w:val="F9520368"/>
    <w:rsid w:val="F9FE506E"/>
    <w:rsid w:val="FABB4D10"/>
    <w:rsid w:val="FB5F2883"/>
    <w:rsid w:val="FB775B34"/>
    <w:rsid w:val="FB7F5B1B"/>
    <w:rsid w:val="FBDD4CCD"/>
    <w:rsid w:val="FBDF3B40"/>
    <w:rsid w:val="FBDFF8FF"/>
    <w:rsid w:val="FBEFA42D"/>
    <w:rsid w:val="FCEB37CD"/>
    <w:rsid w:val="FCEECFE0"/>
    <w:rsid w:val="FD78AF6E"/>
    <w:rsid w:val="FDDEE048"/>
    <w:rsid w:val="FDF512A4"/>
    <w:rsid w:val="FDFF8725"/>
    <w:rsid w:val="FEF70681"/>
    <w:rsid w:val="FF5F1D10"/>
    <w:rsid w:val="FF7D0D12"/>
    <w:rsid w:val="FFBF36C9"/>
    <w:rsid w:val="FFCF98E5"/>
    <w:rsid w:val="FFDF8EE7"/>
    <w:rsid w:val="FFF5DDEA"/>
    <w:rsid w:val="FFF7991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5"/>
    <w:semiHidden/>
    <w:unhideWhenUsed/>
    <w:qFormat/>
    <w:uiPriority w:val="99"/>
    <w:pPr>
      <w:jc w:val="left"/>
    </w:pPr>
  </w:style>
  <w:style w:type="paragraph" w:styleId="3">
    <w:name w:val="Body Text"/>
    <w:basedOn w:val="1"/>
    <w:qFormat/>
    <w:uiPriority w:val="0"/>
  </w:style>
  <w:style w:type="paragraph" w:styleId="4">
    <w:name w:val="Balloon Text"/>
    <w:basedOn w:val="1"/>
    <w:link w:val="18"/>
    <w:semiHidden/>
    <w:unhideWhenUsed/>
    <w:qFormat/>
    <w:uiPriority w:val="99"/>
    <w:rPr>
      <w:sz w:val="18"/>
      <w:szCs w:val="18"/>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6"/>
    <w:semiHidden/>
    <w:unhideWhenUsed/>
    <w:qFormat/>
    <w:uiPriority w:val="99"/>
    <w:rPr>
      <w:b/>
      <w:bCs/>
    </w:rPr>
  </w:style>
  <w:style w:type="character" w:styleId="10">
    <w:name w:val="annotation reference"/>
    <w:basedOn w:val="9"/>
    <w:semiHidden/>
    <w:unhideWhenUsed/>
    <w:qFormat/>
    <w:uiPriority w:val="99"/>
    <w:rPr>
      <w:sz w:val="21"/>
      <w:szCs w:val="21"/>
    </w:rPr>
  </w:style>
  <w:style w:type="character" w:customStyle="1" w:styleId="11">
    <w:name w:val="页脚 Char"/>
    <w:basedOn w:val="9"/>
    <w:link w:val="5"/>
    <w:qFormat/>
    <w:uiPriority w:val="99"/>
    <w:rPr>
      <w:rFonts w:ascii="Times New Roman" w:hAnsi="Times New Roman" w:eastAsia="宋体" w:cs="Times New Roman"/>
      <w:sz w:val="18"/>
      <w:szCs w:val="18"/>
    </w:rPr>
  </w:style>
  <w:style w:type="character" w:customStyle="1" w:styleId="12">
    <w:name w:val="页码1"/>
    <w:basedOn w:val="9"/>
    <w:qFormat/>
    <w:uiPriority w:val="0"/>
  </w:style>
  <w:style w:type="paragraph" w:customStyle="1" w:styleId="13">
    <w:name w:val="普通(网站)1"/>
    <w:basedOn w:val="1"/>
    <w:qFormat/>
    <w:uiPriority w:val="0"/>
    <w:pPr>
      <w:widowControl/>
      <w:spacing w:before="100" w:beforeAutospacing="1" w:after="100" w:afterAutospacing="1"/>
      <w:jc w:val="left"/>
    </w:pPr>
    <w:rPr>
      <w:rFonts w:ascii="宋体" w:hAnsi="宋体"/>
      <w:kern w:val="0"/>
      <w:sz w:val="24"/>
    </w:rPr>
  </w:style>
  <w:style w:type="character" w:customStyle="1" w:styleId="14">
    <w:name w:val="页眉 Char"/>
    <w:basedOn w:val="9"/>
    <w:link w:val="6"/>
    <w:semiHidden/>
    <w:qFormat/>
    <w:uiPriority w:val="99"/>
    <w:rPr>
      <w:kern w:val="2"/>
      <w:sz w:val="18"/>
      <w:szCs w:val="18"/>
    </w:rPr>
  </w:style>
  <w:style w:type="character" w:customStyle="1" w:styleId="15">
    <w:name w:val="批注文字 Char"/>
    <w:basedOn w:val="9"/>
    <w:link w:val="2"/>
    <w:semiHidden/>
    <w:qFormat/>
    <w:uiPriority w:val="99"/>
    <w:rPr>
      <w:kern w:val="2"/>
      <w:sz w:val="21"/>
      <w:szCs w:val="24"/>
    </w:rPr>
  </w:style>
  <w:style w:type="character" w:customStyle="1" w:styleId="16">
    <w:name w:val="批注主题 Char"/>
    <w:basedOn w:val="15"/>
    <w:link w:val="7"/>
    <w:semiHidden/>
    <w:qFormat/>
    <w:uiPriority w:val="99"/>
    <w:rPr>
      <w:b/>
      <w:bCs/>
    </w:rPr>
  </w:style>
  <w:style w:type="paragraph" w:customStyle="1" w:styleId="17">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18">
    <w:name w:val="批注框文本 Char"/>
    <w:basedOn w:val="9"/>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1013</Words>
  <Characters>5778</Characters>
  <Lines>48</Lines>
  <Paragraphs>13</Paragraphs>
  <TotalTime>38</TotalTime>
  <ScaleCrop>false</ScaleCrop>
  <LinksUpToDate>false</LinksUpToDate>
  <CharactersWithSpaces>6778</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2021-09-17T06:34:00Z</dcterms:created>
  <dc:creator>系统管理员(sysadmin)</dc:creator>
  <cp:lastModifiedBy>libx</cp:lastModifiedBy>
  <cp:lastPrinted>2021-09-29T18:19:00Z</cp:lastPrinted>
  <dcterms:modified xsi:type="dcterms:W3CDTF">2021-09-29T10:28:42Z</dcterms:modified>
  <dc:title>系统管理员(sysadmin)</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y fmtid="{D5CDD505-2E9C-101B-9397-08002B2CF9AE}" pid="3" name="ICV">
    <vt:lpwstr>71B845EAAD4E4EB49C3EB53C70079BC5</vt:lpwstr>
  </property>
</Properties>
</file>